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全自动化学发光免疫分析仪技术参数要求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eastAsia="zh-CN"/>
        </w:rPr>
        <w:t>（仪器用于过敏原特异性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IgE抗体定量检测）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一步法测试速度：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≥360测试/小时；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两步法测试速度：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≥300测试/小时；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检测时长：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首次结果48min；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检测原理：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酶促化学发光；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定标方法：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内置主定标曲线、可2点校准，支持6点定标；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6.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操作模式：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支持随机、批量、急诊多种操作模式；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7.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加样针：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4根；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8.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样本位：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≥96个，可随时更换、添加，样本条形码智能识别；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9.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样本管规格：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支持原始采血管、真空采血管和微量样本杯等；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10.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样本稀释：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支持样本自动稀释功能，一次稀释可供多个项目的检测；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11.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样本识别：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标配样本条码扫描，自动获取样本信息；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12.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试剂位：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≥24个，可随时更换、添加；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13.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试剂冷藏：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支持24小时不间断试剂冷藏；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14.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试剂识别：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支持试剂条码扫描，自动获取试剂信息；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15.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试剂混匀：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独创的振摇混匀功能，满足不同工艺振摇混匀需求；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16.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试剂加样方式：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液面探测、余量监测，堵针报警、空吸报警；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17.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反应杯：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≥1000个，自动排杯，可随时散装添加；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18.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反应杯类型：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一次性反应杯；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19.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反应杯加载：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自动加载和卸载，余量不足自动报警；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20.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软件系统：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图形化操作界面、15寸触控屏操作，支持LIS系统双向数据传送，全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天候在线远程技术支持和维护；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21.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废液处理：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废液智能监测排放、废弃物固液分离，过载提示报警；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22.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异常情况处理：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实时自诊断、自处理、自保护；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23.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仪器维护：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一键保养功能；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24.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携带污染率：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＜1.0ppm，提供Tip头方案；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25.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相关系数：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≥0.999；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26.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精密度：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CV≤3%；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27.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本底噪声：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≤100RLU/s；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28.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仪器重量：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150kg（机柜重量：50kg）；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 xml:space="preserve">29.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仪器尺寸：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1286mm×720mm×700mm（机柜尺寸：1286mm×720mm×700mm）；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30.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设备扩展性：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能实现多机串联成流水线，不少于5台并机；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82" w:leftChars="0" w:hanging="482" w:hangingChars="200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31.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bidi="ar"/>
        </w:rPr>
        <w:t>检测项目：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自身免疫性抗体定量检测、过敏原特异性IgE抗体定量检测、食物特异性IgG抗体定量检测、过敏原组分定量检测；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32.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bidi="ar"/>
        </w:rPr>
        <w:t>项目组合方式：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可以任意项目灵活组合；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82" w:leftChars="0" w:hanging="482" w:hangingChars="200"/>
        <w:textAlignment w:val="auto"/>
        <w:rPr>
          <w:color w:val="0000FF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 xml:space="preserve">33. 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▲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bidi="ar"/>
        </w:rPr>
        <w:t>项目注册证：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bidi="ar"/>
        </w:rPr>
        <w:t>过敏原IgE项目单项单注册证个数不少于20个，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eastAsia="zh-CN" w:bidi="ar"/>
        </w:rPr>
        <w:t>以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bidi="ar"/>
        </w:rPr>
        <w:t>专项变应原筛查收费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eastAsia="zh-CN" w:bidi="ar"/>
        </w:rPr>
        <w:t>为准。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34.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bidi="ar"/>
        </w:rPr>
        <w:t>项目校准品、质控品：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配套有单独注册证的校准品、单独注册证的质控品；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Style w:val="7"/>
          <w:rFonts w:asciiTheme="minorHAnsi" w:hAnsiTheme="minorHAnsi" w:cstheme="minorBidi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35.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bidi="ar"/>
        </w:rPr>
        <w:t>检测血清用量：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过敏原项目</w:t>
      </w:r>
      <w:r>
        <w:rPr>
          <w:rStyle w:val="7"/>
          <w:rFonts w:eastAsia="宋体"/>
          <w:color w:val="auto"/>
          <w:sz w:val="24"/>
          <w:szCs w:val="24"/>
          <w:lang w:bidi="ar"/>
        </w:rPr>
        <w:t>≤15μL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，自身抗体项目</w:t>
      </w:r>
      <w:r>
        <w:rPr>
          <w:rStyle w:val="7"/>
          <w:rFonts w:eastAsia="宋体"/>
          <w:color w:val="auto"/>
          <w:sz w:val="24"/>
          <w:szCs w:val="24"/>
          <w:lang w:bidi="ar"/>
        </w:rPr>
        <w:t>≤25μL</w:t>
      </w:r>
      <w:r>
        <w:rPr>
          <w:rStyle w:val="7"/>
          <w:rFonts w:hint="eastAsia" w:eastAsia="宋体"/>
          <w:color w:val="auto"/>
          <w:sz w:val="24"/>
          <w:szCs w:val="24"/>
          <w:lang w:bidi="ar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82" w:leftChars="0" w:hanging="482" w:hangingChars="200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36.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bidi="ar"/>
        </w:rPr>
        <w:t>项目最低检出限：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过敏原IgE项目不高于0.1KU/L、自身抗体项目不高于0.5RU/mL(IU/mL)；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37.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bidi="ar"/>
        </w:rPr>
        <w:t>项目试剂有效期：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不少于18个月；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82" w:leftChars="0" w:hanging="482" w:hangingChars="200"/>
        <w:textAlignment w:val="auto"/>
        <w:rPr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38.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bidi="ar"/>
        </w:rPr>
        <w:t>其他：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中国医学院校/中国医院科技量值(STEM)暨2018-2022五年总科技量值(ASTEM)排名前20名医院中用户数量≥ 5家(可提供材料证明）。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val="en-US" w:eastAsia="zh-CN"/>
        </w:rPr>
        <w:t xml:space="preserve">39. 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4"/>
          <w:szCs w:val="24"/>
        </w:rPr>
        <w:t>备注：优先采购非专机专用医用耗材（含试剂）的设备。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40.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仪器的使用年限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≥5年。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72be6302-e962-492b-a973-64d3cc88c1fe"/>
  </w:docVars>
  <w:rsids>
    <w:rsidRoot w:val="691F264B"/>
    <w:rsid w:val="00E61516"/>
    <w:rsid w:val="09F33667"/>
    <w:rsid w:val="0EFE3111"/>
    <w:rsid w:val="18C23144"/>
    <w:rsid w:val="1DB26AA0"/>
    <w:rsid w:val="22200AFA"/>
    <w:rsid w:val="240A6584"/>
    <w:rsid w:val="276C1847"/>
    <w:rsid w:val="2CC27EF7"/>
    <w:rsid w:val="33423AEA"/>
    <w:rsid w:val="38354821"/>
    <w:rsid w:val="47801D98"/>
    <w:rsid w:val="5B572CBB"/>
    <w:rsid w:val="62222646"/>
    <w:rsid w:val="654432E7"/>
    <w:rsid w:val="688318B5"/>
    <w:rsid w:val="691F264B"/>
    <w:rsid w:val="79D5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1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981</Words>
  <Characters>1182</Characters>
  <Lines>0</Lines>
  <Paragraphs>0</Paragraphs>
  <TotalTime>55</TotalTime>
  <ScaleCrop>false</ScaleCrop>
  <LinksUpToDate>false</LinksUpToDate>
  <CharactersWithSpaces>1224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2024-10-09T00:41:00Z</dcterms:created>
  <dc:creator>Administrator</dc:creator>
  <cp:lastModifiedBy>yteng</cp:lastModifiedBy>
  <cp:lastPrinted>2024-10-23T03:47:00Z</cp:lastPrinted>
  <dcterms:modified xsi:type="dcterms:W3CDTF">2024-11-15T07:29:27Z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789A12A7B45848B89B6B1D5D833EF28A</vt:lpwstr>
  </property>
</Properties>
</file>