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百色市中医医院采购血液透析滤过机设备项目技术参数要求表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cs="Calibri"/>
          <w:b/>
          <w:bCs w:val="0"/>
          <w:color w:val="000000"/>
          <w:sz w:val="20"/>
          <w:szCs w:val="20"/>
          <w:lang w:eastAsia="zh-CN"/>
        </w:rPr>
      </w:pPr>
      <w:r>
        <w:rPr>
          <w:rStyle w:val="13"/>
          <w:rFonts w:hint="eastAsia" w:ascii="Times New Roman" w:hAnsi="Times New Roman" w:cs="Times New Roman"/>
          <w:b/>
          <w:bCs w:val="0"/>
          <w:color w:val="000000"/>
          <w:sz w:val="20"/>
          <w:szCs w:val="20"/>
        </w:rPr>
        <w:t>（参数仅是市场调研初步参数，各厂商或代理商可针对全部</w:t>
      </w:r>
      <w:r>
        <w:rPr>
          <w:rStyle w:val="13"/>
          <w:rFonts w:hint="eastAsia" w:ascii="Times New Roman" w:hAnsi="Times New Roman" w:cs="Times New Roman"/>
          <w:b/>
          <w:bCs w:val="0"/>
          <w:color w:val="000000"/>
          <w:sz w:val="20"/>
          <w:szCs w:val="20"/>
          <w:lang w:eastAsia="zh-CN"/>
        </w:rPr>
        <w:t>参数</w:t>
      </w:r>
      <w:r>
        <w:rPr>
          <w:rStyle w:val="13"/>
          <w:rFonts w:hint="eastAsia" w:ascii="Times New Roman" w:hAnsi="Times New Roman" w:cs="Times New Roman"/>
          <w:b/>
          <w:bCs w:val="0"/>
          <w:color w:val="000000"/>
          <w:sz w:val="20"/>
          <w:szCs w:val="20"/>
        </w:rPr>
        <w:t>或单一</w:t>
      </w:r>
      <w:r>
        <w:rPr>
          <w:rStyle w:val="13"/>
          <w:rFonts w:hint="eastAsia" w:ascii="Times New Roman" w:hAnsi="Times New Roman" w:cs="Times New Roman"/>
          <w:b/>
          <w:bCs w:val="0"/>
          <w:color w:val="000000"/>
          <w:sz w:val="20"/>
          <w:szCs w:val="20"/>
          <w:lang w:eastAsia="zh-CN"/>
        </w:rPr>
        <w:t>参数</w:t>
      </w:r>
      <w:r>
        <w:rPr>
          <w:rStyle w:val="13"/>
          <w:rFonts w:hint="eastAsia" w:ascii="Times New Roman" w:hAnsi="Times New Roman" w:cs="Times New Roman"/>
          <w:b/>
          <w:bCs w:val="0"/>
          <w:color w:val="000000"/>
          <w:sz w:val="20"/>
          <w:szCs w:val="20"/>
        </w:rPr>
        <w:t>提供具体响应数值及参数修改意见）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一、基本参数要求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核心配置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血泵流量：0-600ml/min连续可调，调节梯度≤10ml/min，精度±10%。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肝素泵：流量范围0.1-10ml/h，支持注射器规格（10/20/30ml），可设定停止时间及自动追加功能。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超滤系统：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超滤率范围：0-4.5L/h，精度≤±1%。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平衡腔容积≥400ml，采用密闭式容量控制，配备陶瓷泵脱水。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 压力监测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动脉压：-400~+400mmHg，精度±10mmHg。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静脉压：-200~+500mmHg，精度±10mmHg。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跨膜压（TMP）：-80~+650mmHg，精度±20mmHg。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透析液压力：-500~+500mmHg。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 透析液循环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流量范围：300-800ml/min，调节梯度≤100ml/min。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温度控制：33-40℃，精度±0.5℃。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电导度监测：12.5-16mS/cm，精度±0.1mS/cm，支持B液与总电导度双反馈。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二、安全监测功能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漏血检测：光学或超声原理，灵敏度≥300ppm。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 空气监测：超声传导+光学检测，灵敏度≤0.02ml。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 气泡报警：实时监测静脉管路气泡并触发夹闭。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 后备电池：断电后维持≥20分钟运行，支持数据保存及压力监测。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三、操作与数据管理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人机界面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- 15英寸彩色触摸屏，全中文/英文界面，支持参数实时曲线显示（如超滤、钠离子、温度曲线）。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内置维修诊断程序，故障代码自检及提示。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 治疗模式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支持碳酸氢盐、醋酸盐透析，在线血液滤过（HDF/HF），可自定义超滤、钠离子、肝素等曲线。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预设≥30种固定治疗曲线，支持≥20种自定义曲线。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 数据管理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存储≥20次治疗记录，支持数据导出及医院信息系统（HIS）对接。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内置Kt/v值计算功能，评估透析充分性。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四、消毒与耗材兼容性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消毒方式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热消毒（≥85℃）与化学消毒可选，支持脱钙与消毒同步完成。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消毒时间≤40分钟，符合防交叉感染要求。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 耗材开放性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兼容任意品牌A/B浓缩液及透析器，标配内毒素过滤器（≥150人次/900小时）。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支持中央供液系统接口，管路开放适配多种品牌。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五、其他关键要求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电源与稳定性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- 220V±10%/50Hz，抗电磁干扰，断电自动切换至备用电源。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设备寿命≥10年或3万小时（以铭牌标注为准）。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 售后服务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质保期≥3年，含免费上门维修及终身技术支持。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故障响应时间≤24小时，提供操作培训及耗材价格清单。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六、资质与认证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需提供医疗器械注册证、生产/经营许可证、FDA/CE认证（进口设备）或SFDA认证（国产设备）。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- 符合GB9706.1（安全通用要求）及YY0054（血液透析设备专用标准）。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f2c04f9-bb78-4f44-b60f-82394bc897ab"/>
  </w:docVars>
  <w:rsids>
    <w:rsidRoot w:val="00000000"/>
    <w:rsid w:val="003A25A2"/>
    <w:rsid w:val="03BF7F20"/>
    <w:rsid w:val="068655AB"/>
    <w:rsid w:val="0AF242DA"/>
    <w:rsid w:val="1644684C"/>
    <w:rsid w:val="1D927C8E"/>
    <w:rsid w:val="2C3C2C82"/>
    <w:rsid w:val="3A4662B6"/>
    <w:rsid w:val="3D477EBB"/>
    <w:rsid w:val="3FF35E0E"/>
    <w:rsid w:val="41572928"/>
    <w:rsid w:val="4DA47936"/>
    <w:rsid w:val="5D70442B"/>
    <w:rsid w:val="61AB1A02"/>
    <w:rsid w:val="6329551F"/>
    <w:rsid w:val="637A1D54"/>
    <w:rsid w:val="661E6D17"/>
    <w:rsid w:val="670F2FDC"/>
    <w:rsid w:val="6F8B1BCA"/>
    <w:rsid w:val="78447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paragraph" w:customStyle="1" w:styleId="12">
    <w:name w:val="列出段落1"/>
    <w:basedOn w:val="1"/>
    <w:qFormat/>
    <w:uiPriority w:val="99"/>
    <w:pPr>
      <w:ind w:left="720"/>
    </w:pPr>
  </w:style>
  <w:style w:type="character" w:customStyle="1" w:styleId="13">
    <w:name w:val="15"/>
    <w:basedOn w:val="5"/>
    <w:qFormat/>
    <w:uiPriority w:val="0"/>
  </w:style>
  <w:style w:type="character" w:customStyle="1" w:styleId="14">
    <w:name w:val="edit_class"/>
    <w:basedOn w:val="5"/>
    <w:uiPriority w:val="0"/>
  </w:style>
  <w:style w:type="character" w:customStyle="1" w:styleId="15">
    <w:name w:val="xdrichtextbox2"/>
    <w:basedOn w:val="5"/>
    <w:uiPriority w:val="0"/>
  </w:style>
  <w:style w:type="character" w:customStyle="1" w:styleId="16">
    <w:name w:val="design_class"/>
    <w:basedOn w:val="5"/>
    <w:uiPriority w:val="0"/>
  </w:style>
  <w:style w:type="character" w:customStyle="1" w:styleId="17">
    <w:name w:val="biggerthanmax"/>
    <w:basedOn w:val="5"/>
    <w:uiPriority w:val="0"/>
    <w:rPr>
      <w:shd w:val="clear" w:color="auto" w:fill="FFFF00"/>
    </w:rPr>
  </w:style>
  <w:style w:type="character" w:customStyle="1" w:styleId="18">
    <w:name w:val="active"/>
    <w:basedOn w:val="5"/>
    <w:uiPriority w:val="0"/>
    <w:rPr>
      <w:shd w:val="clear" w:color="auto" w:fill="EC353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1190</Characters>
  <Lines>0</Lines>
  <Paragraphs>0</Paragraphs>
  <TotalTime>2</TotalTime>
  <ScaleCrop>false</ScaleCrop>
  <LinksUpToDate>false</LinksUpToDate>
  <CharactersWithSpaces>1274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2024-12-25T23:36:00Z</dcterms:created>
  <dc:creator>啦啦啦麒麟</dc:creator>
  <cp:lastModifiedBy>喵了个咪</cp:lastModifiedBy>
  <dcterms:modified xsi:type="dcterms:W3CDTF">2025-04-24T08:33:47Z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36056BFCFD014AF3979FB73F24CBE505</vt:lpwstr>
  </property>
  <property fmtid="{D5CDD505-2E9C-101B-9397-08002B2CF9AE}" pid="4" name="KSOTemplateDocerSaveRecord">
    <vt:lpwstr>eyJoZGlkIjoiMjBmYThhMzJkMTU4MDlmZWY2NzU4MjU3NjI3NzdlNjEiLCJ1c2VySWQiOiI1ODkwOTg5OTAifQ==</vt:lpwstr>
  </property>
</Properties>
</file>