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A15F0">
      <w:pPr>
        <w:pStyle w:val="3"/>
        <w:jc w:val="center"/>
        <w:rPr>
          <w:lang w:eastAsia="zh-CN"/>
        </w:rPr>
      </w:pPr>
      <w:r>
        <w:rPr>
          <w:rFonts w:hint="eastAsia"/>
          <w:lang w:eastAsia="zh-CN"/>
        </w:rPr>
        <w:t>百色中医医院电子病历升级改造项目设计（咨询）服务需求</w:t>
      </w:r>
    </w:p>
    <w:tbl>
      <w:tblPr>
        <w:tblStyle w:val="17"/>
        <w:tblW w:w="523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93"/>
        <w:gridCol w:w="995"/>
        <w:gridCol w:w="556"/>
        <w:gridCol w:w="6565"/>
      </w:tblGrid>
      <w:tr w14:paraId="30E15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00" w:type="pct"/>
            <w:gridSpan w:val="4"/>
            <w:tcBorders>
              <w:tl2br w:val="nil"/>
            </w:tcBorders>
            <w:shd w:val="clear" w:color="auto" w:fill="FFFFFF"/>
            <w:vAlign w:val="center"/>
          </w:tcPr>
          <w:p w14:paraId="723F9C58">
            <w:pPr>
              <w:spacing w:line="340" w:lineRule="exact"/>
              <w:ind w:left="42" w:leftChars="20" w:right="42" w:rightChars="20"/>
              <w:jc w:val="both"/>
              <w:rPr>
                <w:rFonts w:ascii="宋体" w:hAnsi="宋体" w:eastAsia="宋体" w:cs="宋体"/>
                <w:b/>
                <w:bCs/>
                <w:color w:val="auto"/>
                <w:sz w:val="20"/>
                <w:szCs w:val="20"/>
                <w:lang w:eastAsia="zh-CN"/>
              </w:rPr>
            </w:pPr>
            <w:r>
              <w:rPr>
                <w:rFonts w:hint="eastAsia" w:ascii="宋体" w:hAnsi="宋体" w:eastAsia="宋体" w:cs="宋体"/>
                <w:b/>
                <w:bCs/>
                <w:color w:val="auto"/>
                <w:sz w:val="20"/>
                <w:szCs w:val="20"/>
                <w:lang w:eastAsia="zh-CN"/>
              </w:rPr>
              <w:t>一、项目要求及技术需求表</w:t>
            </w:r>
          </w:p>
        </w:tc>
      </w:tr>
      <w:tr w14:paraId="0FF70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41" w:type="pct"/>
            <w:shd w:val="clear" w:color="auto" w:fill="FFFFFF"/>
            <w:vAlign w:val="center"/>
          </w:tcPr>
          <w:p w14:paraId="7392108C">
            <w:pPr>
              <w:spacing w:line="340" w:lineRule="exact"/>
              <w:ind w:left="42" w:leftChars="20" w:right="42" w:rightChars="20"/>
              <w:jc w:val="center"/>
              <w:rPr>
                <w:rFonts w:ascii="宋体" w:hAnsi="宋体" w:eastAsia="宋体" w:cs="宋体"/>
                <w:b/>
                <w:bCs/>
                <w:color w:val="auto"/>
                <w:sz w:val="20"/>
                <w:szCs w:val="20"/>
              </w:rPr>
            </w:pPr>
            <w:r>
              <w:rPr>
                <w:rFonts w:hint="eastAsia" w:ascii="宋体" w:hAnsi="宋体" w:eastAsia="宋体" w:cs="宋体"/>
                <w:b/>
                <w:bCs/>
                <w:color w:val="auto"/>
                <w:sz w:val="20"/>
                <w:szCs w:val="20"/>
              </w:rPr>
              <w:t>序号</w:t>
            </w:r>
          </w:p>
        </w:tc>
        <w:tc>
          <w:tcPr>
            <w:tcW w:w="570" w:type="pct"/>
            <w:shd w:val="clear" w:color="auto" w:fill="FFFFFF"/>
            <w:vAlign w:val="center"/>
          </w:tcPr>
          <w:p w14:paraId="6518964B">
            <w:pPr>
              <w:spacing w:line="340" w:lineRule="exact"/>
              <w:ind w:left="42" w:leftChars="20" w:right="42" w:rightChars="20"/>
              <w:jc w:val="center"/>
              <w:rPr>
                <w:rFonts w:ascii="宋体" w:hAnsi="宋体" w:eastAsia="宋体" w:cs="宋体"/>
                <w:b/>
                <w:bCs/>
                <w:color w:val="auto"/>
                <w:sz w:val="20"/>
                <w:szCs w:val="20"/>
              </w:rPr>
            </w:pPr>
            <w:r>
              <w:rPr>
                <w:rFonts w:hint="eastAsia" w:ascii="宋体" w:hAnsi="宋体" w:eastAsia="宋体" w:cs="宋体"/>
                <w:b/>
                <w:bCs/>
                <w:color w:val="auto"/>
                <w:sz w:val="20"/>
                <w:szCs w:val="20"/>
              </w:rPr>
              <w:t>服务名称</w:t>
            </w:r>
          </w:p>
        </w:tc>
        <w:tc>
          <w:tcPr>
            <w:tcW w:w="319" w:type="pct"/>
            <w:shd w:val="clear" w:color="auto" w:fill="FFFFFF"/>
            <w:vAlign w:val="center"/>
          </w:tcPr>
          <w:p w14:paraId="18A28EFF">
            <w:pPr>
              <w:spacing w:line="340" w:lineRule="exact"/>
              <w:ind w:left="42" w:leftChars="20" w:right="42" w:rightChars="20"/>
              <w:jc w:val="center"/>
              <w:rPr>
                <w:rFonts w:ascii="宋体" w:hAnsi="宋体" w:eastAsia="宋体" w:cs="宋体"/>
                <w:b/>
                <w:bCs/>
                <w:color w:val="auto"/>
                <w:sz w:val="20"/>
                <w:szCs w:val="20"/>
              </w:rPr>
            </w:pPr>
            <w:r>
              <w:rPr>
                <w:rFonts w:hint="eastAsia" w:ascii="宋体" w:hAnsi="宋体" w:eastAsia="宋体" w:cs="宋体"/>
                <w:b/>
                <w:bCs/>
                <w:color w:val="auto"/>
                <w:sz w:val="20"/>
                <w:szCs w:val="20"/>
              </w:rPr>
              <w:t>数量</w:t>
            </w:r>
          </w:p>
        </w:tc>
        <w:tc>
          <w:tcPr>
            <w:tcW w:w="3768" w:type="pct"/>
            <w:shd w:val="clear" w:color="auto" w:fill="FFFFFF"/>
            <w:vAlign w:val="center"/>
          </w:tcPr>
          <w:p w14:paraId="016D1604">
            <w:pPr>
              <w:spacing w:line="340" w:lineRule="exact"/>
              <w:ind w:left="42" w:leftChars="20" w:right="42" w:rightChars="20" w:firstLine="402" w:firstLineChars="200"/>
              <w:jc w:val="center"/>
              <w:rPr>
                <w:rFonts w:ascii="宋体" w:hAnsi="宋体" w:eastAsia="宋体" w:cs="宋体"/>
                <w:b/>
                <w:bCs/>
                <w:color w:val="auto"/>
                <w:sz w:val="20"/>
                <w:szCs w:val="20"/>
                <w:lang w:eastAsia="zh-CN"/>
              </w:rPr>
            </w:pPr>
            <w:r>
              <w:rPr>
                <w:rFonts w:hint="eastAsia" w:ascii="宋体" w:hAnsi="宋体" w:eastAsia="宋体" w:cs="宋体"/>
                <w:b/>
                <w:bCs/>
                <w:color w:val="auto"/>
                <w:sz w:val="20"/>
                <w:szCs w:val="20"/>
                <w:lang w:eastAsia="zh-CN"/>
              </w:rPr>
              <w:t>服务项目的具体内容和要求</w:t>
            </w:r>
          </w:p>
        </w:tc>
      </w:tr>
      <w:tr w14:paraId="584F0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341" w:type="pct"/>
            <w:shd w:val="clear" w:color="auto" w:fill="FFFFFF"/>
            <w:vAlign w:val="center"/>
          </w:tcPr>
          <w:p w14:paraId="1EBF9A91">
            <w:pPr>
              <w:spacing w:line="340" w:lineRule="exact"/>
              <w:ind w:left="42" w:leftChars="20" w:right="42" w:rightChars="20"/>
              <w:jc w:val="center"/>
              <w:rPr>
                <w:rFonts w:ascii="宋体" w:hAnsi="宋体" w:eastAsia="宋体" w:cs="宋体"/>
                <w:color w:val="auto"/>
                <w:sz w:val="20"/>
                <w:szCs w:val="20"/>
              </w:rPr>
            </w:pPr>
            <w:r>
              <w:rPr>
                <w:rFonts w:hint="eastAsia" w:ascii="宋体" w:hAnsi="宋体" w:eastAsia="宋体" w:cs="宋体"/>
                <w:color w:val="auto"/>
                <w:sz w:val="20"/>
                <w:szCs w:val="20"/>
              </w:rPr>
              <w:t>1</w:t>
            </w:r>
          </w:p>
        </w:tc>
        <w:tc>
          <w:tcPr>
            <w:tcW w:w="570" w:type="pct"/>
            <w:shd w:val="clear" w:color="auto" w:fill="FFFFFF"/>
            <w:vAlign w:val="center"/>
          </w:tcPr>
          <w:p w14:paraId="5419F01B">
            <w:pPr>
              <w:spacing w:line="340" w:lineRule="exact"/>
              <w:ind w:left="42" w:leftChars="20" w:right="42" w:rightChars="2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百色中医医院电子病历升级改造项目前期咨询设计服务</w:t>
            </w:r>
          </w:p>
        </w:tc>
        <w:tc>
          <w:tcPr>
            <w:tcW w:w="319" w:type="pct"/>
            <w:shd w:val="clear" w:color="auto" w:fill="FFFFFF"/>
            <w:vAlign w:val="center"/>
          </w:tcPr>
          <w:p w14:paraId="1BCD149B">
            <w:pPr>
              <w:spacing w:line="340" w:lineRule="exact"/>
              <w:ind w:left="42" w:leftChars="20" w:right="42" w:rightChars="20"/>
              <w:jc w:val="center"/>
              <w:rPr>
                <w:rFonts w:ascii="宋体" w:hAnsi="宋体" w:eastAsia="宋体" w:cs="宋体"/>
                <w:color w:val="auto"/>
                <w:sz w:val="20"/>
                <w:szCs w:val="20"/>
              </w:rPr>
            </w:pPr>
            <w:r>
              <w:rPr>
                <w:rFonts w:hint="eastAsia" w:ascii="宋体" w:hAnsi="宋体" w:eastAsia="宋体" w:cs="宋体"/>
                <w:color w:val="auto"/>
                <w:sz w:val="20"/>
                <w:szCs w:val="20"/>
              </w:rPr>
              <w:t>1项</w:t>
            </w:r>
          </w:p>
        </w:tc>
        <w:tc>
          <w:tcPr>
            <w:tcW w:w="3768" w:type="pct"/>
            <w:shd w:val="clear" w:color="auto" w:fill="FFFFFF"/>
            <w:vAlign w:val="center"/>
          </w:tcPr>
          <w:p w14:paraId="2DD5B5C2">
            <w:pPr>
              <w:spacing w:line="340" w:lineRule="exact"/>
              <w:ind w:left="42" w:leftChars="20" w:right="42" w:rightChars="20" w:firstLine="402" w:firstLineChars="200"/>
              <w:jc w:val="both"/>
              <w:rPr>
                <w:rFonts w:ascii="宋体" w:hAnsi="宋体" w:eastAsia="宋体" w:cs="宋体"/>
                <w:b/>
                <w:bCs/>
                <w:color w:val="auto"/>
                <w:sz w:val="20"/>
                <w:szCs w:val="20"/>
                <w:lang w:eastAsia="zh-CN"/>
              </w:rPr>
            </w:pPr>
            <w:r>
              <w:rPr>
                <w:rFonts w:hint="eastAsia" w:ascii="宋体" w:hAnsi="宋体" w:eastAsia="宋体" w:cs="宋体"/>
                <w:b/>
                <w:bCs/>
                <w:color w:val="auto"/>
                <w:sz w:val="20"/>
                <w:szCs w:val="20"/>
                <w:lang w:eastAsia="zh-CN"/>
              </w:rPr>
              <w:t>一、项目概况</w:t>
            </w:r>
          </w:p>
          <w:p w14:paraId="43BEDF4E">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cs="宋体" w:asciiTheme="minorEastAsia" w:hAnsiTheme="minorEastAsia" w:eastAsiaTheme="minorEastAsia"/>
                <w:color w:val="auto"/>
                <w:sz w:val="20"/>
                <w:szCs w:val="20"/>
                <w:lang w:eastAsia="zh-CN"/>
              </w:rPr>
              <w:t>为深入落实《“健康中国</w:t>
            </w:r>
            <w:r>
              <w:rPr>
                <w:rFonts w:cs="宋体" w:asciiTheme="minorEastAsia" w:hAnsiTheme="minorEastAsia" w:eastAsiaTheme="minorEastAsia"/>
                <w:color w:val="auto"/>
                <w:sz w:val="20"/>
                <w:szCs w:val="20"/>
                <w:lang w:eastAsia="zh-CN"/>
              </w:rPr>
              <w:t>2030”</w:t>
            </w:r>
            <w:r>
              <w:rPr>
                <w:rFonts w:hint="eastAsia" w:cs="宋体" w:asciiTheme="minorEastAsia" w:hAnsiTheme="minorEastAsia" w:eastAsiaTheme="minorEastAsia"/>
                <w:color w:val="auto"/>
                <w:sz w:val="20"/>
                <w:szCs w:val="20"/>
                <w:lang w:eastAsia="zh-CN"/>
              </w:rPr>
              <w:t>规划纲要》等国家重大战略部署，结合《广西壮族自治区国民经济和社会发展第十四个五年规划和</w:t>
            </w:r>
            <w:r>
              <w:rPr>
                <w:rFonts w:cs="宋体" w:asciiTheme="minorEastAsia" w:hAnsiTheme="minorEastAsia" w:eastAsiaTheme="minorEastAsia"/>
                <w:color w:val="auto"/>
                <w:sz w:val="20"/>
                <w:szCs w:val="20"/>
                <w:lang w:eastAsia="zh-CN"/>
              </w:rPr>
              <w:t xml:space="preserve"> 2035 </w:t>
            </w:r>
            <w:r>
              <w:rPr>
                <w:rFonts w:hint="eastAsia" w:cs="宋体" w:asciiTheme="minorEastAsia" w:hAnsiTheme="minorEastAsia" w:eastAsiaTheme="minorEastAsia"/>
                <w:color w:val="auto"/>
                <w:sz w:val="20"/>
                <w:szCs w:val="20"/>
                <w:lang w:eastAsia="zh-CN"/>
              </w:rPr>
              <w:t>年远景目标纲要》要求，以国家卫生健康委“</w:t>
            </w:r>
            <w:r>
              <w:rPr>
                <w:rFonts w:cs="宋体" w:asciiTheme="minorEastAsia" w:hAnsiTheme="minorEastAsia" w:eastAsiaTheme="minorEastAsia"/>
                <w:color w:val="auto"/>
                <w:sz w:val="20"/>
                <w:szCs w:val="20"/>
                <w:lang w:eastAsia="zh-CN"/>
              </w:rPr>
              <w:t>46312</w:t>
            </w:r>
            <w:r>
              <w:rPr>
                <w:rFonts w:hint="eastAsia" w:cs="宋体" w:asciiTheme="minorEastAsia" w:hAnsiTheme="minorEastAsia" w:eastAsiaTheme="minorEastAsia"/>
                <w:color w:val="auto"/>
                <w:sz w:val="20"/>
                <w:szCs w:val="20"/>
                <w:lang w:eastAsia="zh-CN"/>
              </w:rPr>
              <w:t>工程”规划纲要为整体框架，</w:t>
            </w:r>
            <w:r>
              <w:rPr>
                <w:rFonts w:hint="eastAsia" w:cs="宋体" w:asciiTheme="minorEastAsia" w:hAnsiTheme="minorEastAsia" w:eastAsiaTheme="minorEastAsia"/>
                <w:color w:val="auto"/>
                <w:sz w:val="20"/>
                <w:szCs w:val="20"/>
                <w:highlight w:val="yellow"/>
                <w:lang w:eastAsia="zh-CN"/>
              </w:rPr>
              <w:t>结合《</w:t>
            </w:r>
            <w:r>
              <w:rPr>
                <w:rFonts w:hint="eastAsia" w:cs="宋体" w:asciiTheme="minorEastAsia" w:hAnsiTheme="minorEastAsia" w:eastAsiaTheme="minorEastAsia"/>
                <w:color w:val="auto"/>
                <w:sz w:val="20"/>
                <w:szCs w:val="20"/>
                <w:lang w:eastAsia="zh-CN"/>
              </w:rPr>
              <w:t>百色市医疗机构设置“十四五”规划》发展要求</w:t>
            </w:r>
            <w:r>
              <w:rPr>
                <w:rFonts w:hint="eastAsia" w:ascii="宋体" w:hAnsi="宋体" w:eastAsia="宋体" w:cs="宋体"/>
                <w:color w:val="auto"/>
                <w:sz w:val="20"/>
                <w:szCs w:val="20"/>
                <w:highlight w:val="yellow"/>
                <w:lang w:eastAsia="zh-CN"/>
              </w:rPr>
              <w:t>，</w:t>
            </w:r>
            <w:r>
              <w:rPr>
                <w:rFonts w:hint="eastAsia" w:ascii="宋体" w:hAnsi="宋体" w:eastAsia="宋体" w:cs="宋体"/>
                <w:color w:val="auto"/>
                <w:sz w:val="20"/>
                <w:szCs w:val="20"/>
                <w:lang w:eastAsia="zh-CN"/>
              </w:rPr>
              <w:t>以业务需求、服务群众为导向，以医疗优质资源共享协同为手段，以维护患者全生命周期健康为主线，通过电子病历系统升级改造，促进物联网、移动互联网、人工智能等新一代信息技术与健康管理、医疗卫生服务深度融合，完善各类应用体系，满足</w:t>
            </w:r>
            <w:r>
              <w:rPr>
                <w:rFonts w:hint="eastAsia" w:ascii="宋体" w:hAnsi="宋体" w:eastAsia="宋体" w:cs="宋体"/>
                <w:color w:val="auto"/>
                <w:sz w:val="20"/>
                <w:szCs w:val="20"/>
                <w:highlight w:val="green"/>
                <w:lang w:eastAsia="zh-CN"/>
              </w:rPr>
              <w:t>电子病历四级评级需求及三级医院评级需求</w:t>
            </w:r>
            <w:r>
              <w:rPr>
                <w:rFonts w:hint="eastAsia" w:ascii="宋体" w:hAnsi="宋体" w:eastAsia="宋体" w:cs="宋体"/>
                <w:color w:val="auto"/>
                <w:sz w:val="20"/>
                <w:szCs w:val="20"/>
                <w:lang w:eastAsia="zh-CN"/>
              </w:rPr>
              <w:t>，为患者提供更智慧化、更高水平、更加满意的卫生与健康服务，有效保障和提升人民群众健康水平。本次项目为开展百色中医医院电子病历升级改造项目前期咨询设计服务。</w:t>
            </w:r>
          </w:p>
          <w:p w14:paraId="34A065C2">
            <w:pPr>
              <w:spacing w:line="340" w:lineRule="exact"/>
              <w:ind w:left="42" w:leftChars="20" w:right="42" w:rightChars="20" w:firstLine="402" w:firstLineChars="200"/>
              <w:jc w:val="both"/>
              <w:rPr>
                <w:rFonts w:ascii="宋体" w:hAnsi="宋体" w:eastAsia="宋体" w:cs="宋体"/>
                <w:b/>
                <w:bCs/>
                <w:color w:val="auto"/>
                <w:sz w:val="20"/>
                <w:szCs w:val="20"/>
                <w:lang w:eastAsia="zh-CN"/>
              </w:rPr>
            </w:pPr>
            <w:r>
              <w:rPr>
                <w:rFonts w:hint="eastAsia" w:ascii="宋体" w:hAnsi="宋体" w:eastAsia="宋体" w:cs="宋体"/>
                <w:b/>
                <w:bCs/>
                <w:color w:val="auto"/>
                <w:sz w:val="20"/>
                <w:szCs w:val="20"/>
                <w:lang w:eastAsia="zh-CN"/>
              </w:rPr>
              <w:t>二、项目服务内容及范围</w:t>
            </w:r>
          </w:p>
          <w:p w14:paraId="273562B6">
            <w:pPr>
              <w:spacing w:line="340" w:lineRule="exact"/>
              <w:ind w:left="42" w:leftChars="20" w:right="42" w:rightChars="20" w:firstLine="402" w:firstLineChars="200"/>
              <w:jc w:val="both"/>
              <w:rPr>
                <w:rFonts w:ascii="宋体" w:hAnsi="宋体" w:eastAsia="宋体" w:cs="宋体"/>
                <w:color w:val="auto"/>
                <w:sz w:val="20"/>
                <w:szCs w:val="20"/>
                <w:lang w:eastAsia="zh-CN"/>
              </w:rPr>
            </w:pPr>
            <w:r>
              <w:rPr>
                <w:rFonts w:hint="eastAsia" w:ascii="宋体" w:hAnsi="宋体" w:eastAsia="宋体" w:cs="宋体"/>
                <w:b/>
                <w:bCs/>
                <w:color w:val="auto"/>
                <w:sz w:val="20"/>
                <w:szCs w:val="20"/>
                <w:lang w:eastAsia="zh-CN"/>
              </w:rPr>
              <w:t>1.开展需求调研。</w:t>
            </w:r>
            <w:r>
              <w:rPr>
                <w:rFonts w:hint="eastAsia" w:ascii="宋体" w:hAnsi="宋体" w:eastAsia="宋体" w:cs="宋体"/>
                <w:color w:val="auto"/>
                <w:sz w:val="20"/>
                <w:szCs w:val="20"/>
                <w:lang w:eastAsia="zh-CN"/>
              </w:rPr>
              <w:t>对百色中医医院电子病历系统建设现状进行深入考察调研和需求分析工作，结合项目实际制定调研计划和提纲，根据计划实施调研并汇总调研结果。</w:t>
            </w:r>
          </w:p>
          <w:p w14:paraId="05A3FBF6">
            <w:pPr>
              <w:spacing w:line="340" w:lineRule="exact"/>
              <w:ind w:left="42" w:leftChars="20" w:right="42" w:rightChars="20" w:firstLine="402" w:firstLineChars="200"/>
              <w:jc w:val="both"/>
              <w:rPr>
                <w:rFonts w:ascii="宋体" w:hAnsi="宋体" w:eastAsia="宋体" w:cs="宋体"/>
                <w:color w:val="auto"/>
                <w:sz w:val="20"/>
                <w:szCs w:val="20"/>
                <w:lang w:eastAsia="zh-CN"/>
              </w:rPr>
            </w:pPr>
            <w:r>
              <w:rPr>
                <w:rFonts w:hint="eastAsia" w:ascii="宋体" w:hAnsi="宋体" w:eastAsia="宋体" w:cs="宋体"/>
                <w:b/>
                <w:bCs/>
                <w:color w:val="auto"/>
                <w:sz w:val="20"/>
                <w:szCs w:val="20"/>
                <w:lang w:eastAsia="zh-CN"/>
              </w:rPr>
              <w:t>2.编制项目立项文件及要求。</w:t>
            </w:r>
            <w:r>
              <w:rPr>
                <w:rFonts w:hint="eastAsia" w:ascii="宋体" w:hAnsi="宋体" w:eastAsia="宋体" w:cs="宋体"/>
                <w:color w:val="auto"/>
                <w:sz w:val="20"/>
                <w:szCs w:val="20"/>
                <w:lang w:eastAsia="zh-CN"/>
              </w:rPr>
              <w:t>按照《广西壮族自治区人民政府办公厅关于印发广西政务信息化项目建设管理办法的通知》（桂政办发〔</w:t>
            </w:r>
            <w:r>
              <w:rPr>
                <w:rFonts w:ascii="宋体" w:hAnsi="宋体" w:eastAsia="宋体" w:cs="宋体"/>
                <w:color w:val="auto"/>
                <w:sz w:val="20"/>
                <w:szCs w:val="20"/>
                <w:lang w:eastAsia="zh-CN"/>
              </w:rPr>
              <w:t>2024</w:t>
            </w:r>
            <w:r>
              <w:rPr>
                <w:rFonts w:hint="eastAsia" w:ascii="宋体" w:hAnsi="宋体" w:eastAsia="宋体" w:cs="宋体"/>
                <w:color w:val="auto"/>
                <w:sz w:val="20"/>
                <w:szCs w:val="20"/>
                <w:lang w:eastAsia="zh-CN"/>
              </w:rPr>
              <w:t>〕</w:t>
            </w:r>
            <w:r>
              <w:rPr>
                <w:rFonts w:ascii="宋体" w:hAnsi="宋体" w:eastAsia="宋体" w:cs="宋体"/>
                <w:color w:val="auto"/>
                <w:sz w:val="20"/>
                <w:szCs w:val="20"/>
                <w:lang w:eastAsia="zh-CN"/>
              </w:rPr>
              <w:t>59</w:t>
            </w:r>
            <w:r>
              <w:rPr>
                <w:rFonts w:hint="eastAsia" w:ascii="宋体" w:hAnsi="宋体" w:eastAsia="宋体" w:cs="宋体"/>
                <w:color w:val="auto"/>
                <w:sz w:val="20"/>
                <w:szCs w:val="20"/>
                <w:lang w:eastAsia="zh-CN"/>
              </w:rPr>
              <w:t>号）以及审批部门规定的文档格式、内容以及编制深度要求，通过分析项目现状，研究和明确项目的建设思路，包括建设依据、建设原则、建设目标、建设规模、建设内容等，按照初步设计方案的深度编制项目建设方案，并根据专家评估意见修改项目建设方案，通过相关审批部门的审批。</w:t>
            </w:r>
          </w:p>
          <w:p w14:paraId="6334236A">
            <w:pPr>
              <w:spacing w:line="340" w:lineRule="exact"/>
              <w:ind w:left="42" w:leftChars="20" w:right="42" w:rightChars="20" w:firstLine="402" w:firstLineChars="200"/>
              <w:jc w:val="both"/>
              <w:rPr>
                <w:rFonts w:ascii="宋体" w:hAnsi="宋体" w:eastAsia="宋体" w:cs="宋体"/>
                <w:color w:val="auto"/>
                <w:sz w:val="20"/>
                <w:szCs w:val="20"/>
                <w:lang w:eastAsia="zh-CN"/>
              </w:rPr>
            </w:pPr>
            <w:r>
              <w:rPr>
                <w:rFonts w:hint="eastAsia" w:ascii="宋体" w:hAnsi="宋体" w:eastAsia="宋体" w:cs="宋体"/>
                <w:b/>
                <w:bCs/>
                <w:color w:val="auto"/>
                <w:sz w:val="20"/>
                <w:szCs w:val="20"/>
                <w:lang w:eastAsia="zh-CN"/>
              </w:rPr>
              <w:t>3</w:t>
            </w:r>
            <w:r>
              <w:rPr>
                <w:rFonts w:ascii="宋体" w:hAnsi="宋体" w:eastAsia="宋体" w:cs="宋体"/>
                <w:b/>
                <w:bCs/>
                <w:color w:val="auto"/>
                <w:sz w:val="20"/>
                <w:szCs w:val="20"/>
                <w:lang w:eastAsia="zh-CN"/>
              </w:rPr>
              <w:t>.</w:t>
            </w:r>
            <w:r>
              <w:rPr>
                <w:rFonts w:hint="eastAsia" w:ascii="宋体" w:hAnsi="宋体" w:eastAsia="宋体" w:cs="宋体"/>
                <w:b/>
                <w:bCs/>
                <w:color w:val="auto"/>
                <w:sz w:val="20"/>
                <w:szCs w:val="20"/>
                <w:lang w:eastAsia="zh-CN"/>
              </w:rPr>
              <w:t>编制项目立项报批材料。</w:t>
            </w:r>
            <w:r>
              <w:rPr>
                <w:rFonts w:hint="eastAsia" w:ascii="宋体" w:hAnsi="宋体" w:eastAsia="宋体" w:cs="宋体"/>
                <w:color w:val="auto"/>
                <w:sz w:val="20"/>
                <w:szCs w:val="20"/>
                <w:lang w:eastAsia="zh-CN"/>
              </w:rPr>
              <w:t>相关文件编制完成后，配合采购人完成设计文件的审核工作，根据项目实际，梳理项目立项报批材料，包括：关于申请批复项目建设方案的函</w:t>
            </w:r>
            <w:r>
              <w:rPr>
                <w:rFonts w:ascii="宋体" w:hAnsi="宋体" w:eastAsia="宋体" w:cs="宋体"/>
                <w:color w:val="auto"/>
                <w:sz w:val="20"/>
                <w:szCs w:val="20"/>
                <w:lang w:eastAsia="zh-CN"/>
              </w:rPr>
              <w:t>/</w:t>
            </w:r>
            <w:r>
              <w:rPr>
                <w:rFonts w:hint="eastAsia" w:ascii="宋体" w:hAnsi="宋体" w:eastAsia="宋体" w:cs="宋体"/>
                <w:color w:val="auto"/>
                <w:sz w:val="20"/>
                <w:szCs w:val="20"/>
                <w:lang w:eastAsia="zh-CN"/>
              </w:rPr>
              <w:t>请示；关于项目信息系统信息安全等级保护方案的预审查意见；项目资金来源落实文件等。</w:t>
            </w:r>
          </w:p>
          <w:p w14:paraId="042EA79C">
            <w:pPr>
              <w:spacing w:line="340" w:lineRule="exact"/>
              <w:ind w:left="42" w:leftChars="20" w:right="42" w:rightChars="20" w:firstLine="402" w:firstLineChars="200"/>
              <w:jc w:val="both"/>
              <w:rPr>
                <w:rFonts w:ascii="宋体" w:hAnsi="宋体" w:eastAsia="宋体" w:cs="宋体"/>
                <w:color w:val="auto"/>
                <w:sz w:val="20"/>
                <w:szCs w:val="20"/>
                <w:lang w:eastAsia="zh-CN"/>
              </w:rPr>
            </w:pPr>
            <w:r>
              <w:rPr>
                <w:rFonts w:hint="eastAsia" w:ascii="宋体" w:hAnsi="宋体" w:eastAsia="宋体" w:cs="宋体"/>
                <w:b/>
                <w:bCs/>
                <w:color w:val="auto"/>
                <w:sz w:val="20"/>
                <w:szCs w:val="20"/>
                <w:lang w:eastAsia="zh-CN"/>
              </w:rPr>
              <w:t>4.梳理财政投资评审报批材料。</w:t>
            </w:r>
            <w:r>
              <w:rPr>
                <w:rFonts w:hint="eastAsia" w:ascii="宋体" w:hAnsi="宋体" w:eastAsia="宋体" w:cs="宋体"/>
                <w:color w:val="auto"/>
                <w:sz w:val="20"/>
                <w:szCs w:val="20"/>
                <w:lang w:eastAsia="zh-CN"/>
              </w:rPr>
              <w:t>协助采购人完成财政投资评审工作，按照自治区住房城乡建设厅关于颁发</w:t>
            </w:r>
            <w:r>
              <w:rPr>
                <w:rFonts w:ascii="宋体" w:hAnsi="宋体" w:eastAsia="宋体" w:cs="宋体"/>
                <w:color w:val="auto"/>
                <w:sz w:val="20"/>
                <w:szCs w:val="20"/>
                <w:lang w:eastAsia="zh-CN"/>
              </w:rPr>
              <w:t>2018</w:t>
            </w:r>
            <w:r>
              <w:rPr>
                <w:rFonts w:hint="eastAsia" w:ascii="宋体" w:hAnsi="宋体" w:eastAsia="宋体" w:cs="宋体"/>
                <w:color w:val="auto"/>
                <w:sz w:val="20"/>
                <w:szCs w:val="20"/>
                <w:lang w:eastAsia="zh-CN"/>
              </w:rPr>
              <w:t>年《广西壮族自治区工程建设其他费用定额》的通知（桂建标〔</w:t>
            </w:r>
            <w:r>
              <w:rPr>
                <w:rFonts w:ascii="宋体" w:hAnsi="宋体" w:eastAsia="宋体" w:cs="宋体"/>
                <w:color w:val="auto"/>
                <w:sz w:val="20"/>
                <w:szCs w:val="20"/>
                <w:lang w:eastAsia="zh-CN"/>
              </w:rPr>
              <w:t>20</w:t>
            </w:r>
            <w:r>
              <w:rPr>
                <w:rFonts w:hint="eastAsia" w:ascii="宋体" w:hAnsi="宋体" w:eastAsia="宋体" w:cs="宋体"/>
                <w:color w:val="auto"/>
                <w:sz w:val="20"/>
                <w:szCs w:val="20"/>
                <w:lang w:eastAsia="zh-CN"/>
              </w:rPr>
              <w:t>18〕</w:t>
            </w:r>
            <w:r>
              <w:rPr>
                <w:rFonts w:ascii="宋体" w:hAnsi="宋体" w:eastAsia="宋体" w:cs="宋体"/>
                <w:color w:val="auto"/>
                <w:sz w:val="20"/>
                <w:szCs w:val="20"/>
                <w:lang w:eastAsia="zh-CN"/>
              </w:rPr>
              <w:t>37</w:t>
            </w:r>
            <w:r>
              <w:rPr>
                <w:rFonts w:hint="eastAsia" w:ascii="宋体" w:hAnsi="宋体" w:eastAsia="宋体" w:cs="宋体"/>
                <w:color w:val="auto"/>
                <w:sz w:val="20"/>
                <w:szCs w:val="20"/>
                <w:lang w:eastAsia="zh-CN"/>
              </w:rPr>
              <w:t>号）、《广西壮族自治区本级政务信息化建设和运维项目预算支出标准的通知》（桂财建〔</w:t>
            </w:r>
            <w:r>
              <w:rPr>
                <w:rFonts w:ascii="宋体" w:hAnsi="宋体" w:eastAsia="宋体" w:cs="宋体"/>
                <w:color w:val="auto"/>
                <w:sz w:val="20"/>
                <w:szCs w:val="20"/>
                <w:lang w:eastAsia="zh-CN"/>
              </w:rPr>
              <w:t>202</w:t>
            </w:r>
            <w:r>
              <w:rPr>
                <w:rFonts w:hint="eastAsia" w:ascii="宋体" w:hAnsi="宋体" w:eastAsia="宋体" w:cs="宋体"/>
                <w:color w:val="auto"/>
                <w:sz w:val="20"/>
                <w:szCs w:val="20"/>
                <w:lang w:eastAsia="zh-CN"/>
              </w:rPr>
              <w:t>3〕</w:t>
            </w:r>
            <w:r>
              <w:rPr>
                <w:rFonts w:ascii="宋体" w:hAnsi="宋体" w:eastAsia="宋体" w:cs="宋体"/>
                <w:color w:val="auto"/>
                <w:sz w:val="20"/>
                <w:szCs w:val="20"/>
                <w:lang w:eastAsia="zh-CN"/>
              </w:rPr>
              <w:t>102</w:t>
            </w:r>
            <w:r>
              <w:rPr>
                <w:rFonts w:hint="eastAsia" w:ascii="宋体" w:hAnsi="宋体" w:eastAsia="宋体" w:cs="宋体"/>
                <w:color w:val="auto"/>
                <w:sz w:val="20"/>
                <w:szCs w:val="20"/>
                <w:lang w:eastAsia="zh-CN"/>
              </w:rPr>
              <w:t>号）规定的概算格式和编制要求编制项目投评评审材料，包括但不限于关于申请项目投资评审的函</w:t>
            </w:r>
            <w:r>
              <w:rPr>
                <w:rFonts w:ascii="宋体" w:hAnsi="宋体" w:eastAsia="宋体" w:cs="宋体"/>
                <w:color w:val="auto"/>
                <w:sz w:val="20"/>
                <w:szCs w:val="20"/>
                <w:lang w:eastAsia="zh-CN"/>
              </w:rPr>
              <w:t>/</w:t>
            </w:r>
            <w:r>
              <w:rPr>
                <w:rFonts w:hint="eastAsia" w:ascii="宋体" w:hAnsi="宋体" w:eastAsia="宋体" w:cs="宋体"/>
                <w:color w:val="auto"/>
                <w:sz w:val="20"/>
                <w:szCs w:val="20"/>
                <w:lang w:eastAsia="zh-CN"/>
              </w:rPr>
              <w:t>请示、项目建设方案、项目投资概算书、设备购置清单、商品软件购置清单，并根据采购人的要求，完成项目投资评审材料的核对及申诉等工作。</w:t>
            </w:r>
          </w:p>
          <w:p w14:paraId="62099E64">
            <w:pPr>
              <w:spacing w:line="340" w:lineRule="exact"/>
              <w:ind w:left="42" w:leftChars="20" w:right="42" w:rightChars="20" w:firstLine="402" w:firstLineChars="200"/>
              <w:jc w:val="both"/>
              <w:rPr>
                <w:rFonts w:ascii="宋体" w:hAnsi="宋体" w:eastAsia="宋体" w:cs="宋体"/>
                <w:color w:val="auto"/>
                <w:sz w:val="20"/>
                <w:szCs w:val="20"/>
                <w:lang w:eastAsia="zh-CN"/>
              </w:rPr>
            </w:pPr>
            <w:r>
              <w:rPr>
                <w:rFonts w:hint="eastAsia" w:ascii="宋体" w:hAnsi="宋体" w:eastAsia="宋体" w:cs="宋体"/>
                <w:b/>
                <w:bCs/>
                <w:color w:val="auto"/>
                <w:sz w:val="20"/>
                <w:szCs w:val="20"/>
                <w:lang w:eastAsia="zh-CN"/>
              </w:rPr>
              <w:t>5.配合完成项目实施及验收工作。</w:t>
            </w:r>
            <w:r>
              <w:rPr>
                <w:rFonts w:hint="eastAsia" w:ascii="宋体" w:hAnsi="宋体" w:eastAsia="宋体" w:cs="宋体"/>
                <w:color w:val="auto"/>
                <w:sz w:val="20"/>
                <w:szCs w:val="20"/>
                <w:lang w:eastAsia="zh-CN"/>
              </w:rPr>
              <w:t>配合采购人组织项目的前期实施和技术交底；配合建设单位开展项目建设实施，如系统技术指导、建设内容调整的评审和论证工作等。</w:t>
            </w:r>
          </w:p>
          <w:p w14:paraId="7CFF68CE">
            <w:pPr>
              <w:spacing w:line="340" w:lineRule="exact"/>
              <w:ind w:left="42" w:leftChars="20" w:right="42" w:rightChars="20" w:firstLine="400" w:firstLineChars="200"/>
              <w:jc w:val="both"/>
              <w:rPr>
                <w:rFonts w:ascii="宋体" w:hAnsi="宋体" w:eastAsia="宋体" w:cs="宋体"/>
                <w:color w:val="auto"/>
                <w:sz w:val="20"/>
                <w:szCs w:val="20"/>
                <w:lang w:eastAsia="zh-CN"/>
              </w:rPr>
            </w:pPr>
          </w:p>
          <w:p w14:paraId="18AB641C">
            <w:pPr>
              <w:spacing w:line="340" w:lineRule="exact"/>
              <w:ind w:left="42" w:leftChars="20" w:right="42" w:rightChars="20" w:firstLine="402" w:firstLineChars="200"/>
              <w:jc w:val="both"/>
              <w:rPr>
                <w:rFonts w:ascii="宋体" w:hAnsi="宋体" w:eastAsia="宋体" w:cs="宋体"/>
                <w:b/>
                <w:bCs/>
                <w:color w:val="auto"/>
                <w:sz w:val="20"/>
                <w:szCs w:val="20"/>
                <w:lang w:eastAsia="zh-CN"/>
              </w:rPr>
            </w:pPr>
            <w:r>
              <w:rPr>
                <w:rFonts w:hint="eastAsia" w:ascii="宋体" w:hAnsi="宋体" w:eastAsia="宋体" w:cs="宋体"/>
                <w:b/>
                <w:bCs/>
                <w:color w:val="auto"/>
                <w:sz w:val="20"/>
                <w:szCs w:val="20"/>
                <w:lang w:eastAsia="zh-CN"/>
              </w:rPr>
              <w:t>三、项目前期咨询设计服务要求</w:t>
            </w:r>
          </w:p>
          <w:p w14:paraId="419DA1DD">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1.设计服务内容包括但不限于以下内容：</w:t>
            </w:r>
          </w:p>
          <w:p w14:paraId="304C2689">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本项目是按照“总体规划、前瞻设计、异构集成、以评促建、稳步推进”的顶层设计思想，以医院信息平台为基础，临床电子病历系统为核心，更好的满足临床业务、医院精细化管理的要求，支撑医院区域协同建设的需要。</w:t>
            </w:r>
          </w:p>
          <w:p w14:paraId="549EE813">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本项目</w:t>
            </w:r>
            <w:r>
              <w:rPr>
                <w:rFonts w:ascii="宋体" w:hAnsi="宋体" w:eastAsia="宋体" w:cs="宋体"/>
                <w:color w:val="auto"/>
                <w:sz w:val="20"/>
                <w:szCs w:val="20"/>
                <w:lang w:eastAsia="zh-CN"/>
              </w:rPr>
              <w:t>按照智慧医疗评测标准</w:t>
            </w:r>
            <w:r>
              <w:rPr>
                <w:rFonts w:hint="eastAsia" w:ascii="宋体" w:hAnsi="宋体" w:eastAsia="宋体" w:cs="宋体"/>
                <w:color w:val="auto"/>
                <w:sz w:val="20"/>
                <w:szCs w:val="20"/>
                <w:lang w:eastAsia="zh-CN"/>
              </w:rPr>
              <w:t>对电子病历升级改造，包括但不限于以下系统：</w:t>
            </w:r>
          </w:p>
          <w:p w14:paraId="37F70410">
            <w:pPr>
              <w:numPr>
                <w:ilvl w:val="0"/>
                <w:numId w:val="1"/>
              </w:numPr>
              <w:spacing w:line="340" w:lineRule="exact"/>
              <w:ind w:right="42" w:rightChars="2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门急诊医护管理：门(急)诊医生工作站、门（急）诊电子病历、急诊预检分诊、急诊留观系统、急诊护士工作站、急诊输液系统（含急诊移动输液管理）等，并且能结合AI的技术提升医护人员工作效率，减轻医护人员工作量。</w:t>
            </w:r>
          </w:p>
          <w:p w14:paraId="081044CB">
            <w:pPr>
              <w:numPr>
                <w:ilvl w:val="0"/>
                <w:numId w:val="1"/>
              </w:numPr>
              <w:spacing w:line="340" w:lineRule="exact"/>
              <w:ind w:right="42" w:rightChars="2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病房医护管理：住院医生工作站、院内会诊管理系统、住院护士工作站、统一排班预约管理、预住院日间手术管理、住院医生电子病历、护理电子病历等，并且能结合AI的技术提升医护人员工作效率，减轻医护人员工作量。</w:t>
            </w:r>
          </w:p>
          <w:p w14:paraId="76EA48A5">
            <w:pPr>
              <w:numPr>
                <w:ilvl w:val="0"/>
                <w:numId w:val="1"/>
              </w:numPr>
              <w:spacing w:line="340" w:lineRule="exact"/>
              <w:ind w:right="42" w:rightChars="2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医技管理：临床检验系统、医学影像管理系统、放射工作台、超声工作台、内窥镜工作台、电生理工作台、输血管理系统、康复系统、血透系统、病理系统等</w:t>
            </w:r>
          </w:p>
          <w:p w14:paraId="64C90E25">
            <w:pPr>
              <w:numPr>
                <w:ilvl w:val="0"/>
                <w:numId w:val="1"/>
              </w:numPr>
              <w:spacing w:line="340" w:lineRule="exact"/>
              <w:ind w:right="42" w:rightChars="2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医疗管理：医务管理系统、护理管理、国家单病种上报系统、医疗质量监测系统HQMS、公立医院绩效考核系统、医院等级评审指标监测系统、医院管理决策支持系统病案管理系统、电子病历归档系统、电子病历内涵质控系统、临床路径管理系统、</w:t>
            </w:r>
            <w:r>
              <w:rPr>
                <w:rFonts w:hint="eastAsia" w:ascii="宋体" w:hAnsi="宋体" w:eastAsia="宋体" w:cs="宋体"/>
                <w:color w:val="auto"/>
                <w:sz w:val="20"/>
                <w:szCs w:val="20"/>
                <w:highlight w:val="yellow"/>
                <w:lang w:eastAsia="zh-CN"/>
              </w:rPr>
              <w:t>AI大模型应用（人工智能病历质控、智能辅助病历生成、报告解读、能辅助决策支持系统与现有</w:t>
            </w:r>
            <w:r>
              <w:rPr>
                <w:rFonts w:ascii="宋体" w:hAnsi="宋体" w:eastAsia="宋体" w:cs="宋体"/>
                <w:color w:val="auto"/>
                <w:sz w:val="20"/>
                <w:szCs w:val="20"/>
                <w:highlight w:val="yellow"/>
                <w:lang w:eastAsia="zh-CN"/>
              </w:rPr>
              <w:t>cdss</w:t>
            </w:r>
            <w:r>
              <w:rPr>
                <w:rFonts w:hint="eastAsia" w:ascii="宋体" w:hAnsi="宋体" w:eastAsia="宋体" w:cs="宋体"/>
                <w:color w:val="auto"/>
                <w:sz w:val="20"/>
                <w:szCs w:val="20"/>
                <w:highlight w:val="yellow"/>
                <w:lang w:eastAsia="zh-CN"/>
              </w:rPr>
              <w:t>融合应用）</w:t>
            </w:r>
            <w:r>
              <w:rPr>
                <w:rFonts w:hint="eastAsia" w:ascii="宋体" w:hAnsi="宋体" w:eastAsia="宋体" w:cs="宋体"/>
                <w:color w:val="auto"/>
                <w:sz w:val="20"/>
                <w:szCs w:val="20"/>
                <w:lang w:eastAsia="zh-CN"/>
              </w:rPr>
              <w:t>。</w:t>
            </w:r>
          </w:p>
          <w:p w14:paraId="466425BD">
            <w:pPr>
              <w:numPr>
                <w:ilvl w:val="0"/>
                <w:numId w:val="1"/>
              </w:numPr>
              <w:spacing w:line="340" w:lineRule="exact"/>
              <w:ind w:right="42" w:rightChars="2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医保服务：医保服务(城镇职工)、医保服务(城镇居民)、医保服务(城乡居民)。</w:t>
            </w:r>
          </w:p>
          <w:p w14:paraId="601756CB">
            <w:pPr>
              <w:numPr>
                <w:ilvl w:val="0"/>
                <w:numId w:val="1"/>
              </w:numPr>
              <w:spacing w:line="340" w:lineRule="exact"/>
              <w:ind w:right="42" w:rightChars="2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收费服务：门诊收费系统、住院入出转收费管理系统、电子票据管理平台。</w:t>
            </w:r>
          </w:p>
          <w:p w14:paraId="03BB8543">
            <w:pPr>
              <w:numPr>
                <w:ilvl w:val="0"/>
                <w:numId w:val="1"/>
              </w:numPr>
              <w:spacing w:line="340" w:lineRule="exact"/>
              <w:ind w:right="42" w:rightChars="2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信息利用与数据治理：服务总线、主数据管理、统一用户和单点登录、数据中心、基于平台的应用、统计查询。</w:t>
            </w:r>
          </w:p>
          <w:p w14:paraId="481D3AA8">
            <w:pPr>
              <w:numPr>
                <w:ilvl w:val="0"/>
                <w:numId w:val="1"/>
              </w:numPr>
              <w:spacing w:line="340" w:lineRule="exact"/>
              <w:ind w:right="42" w:rightChars="20"/>
              <w:jc w:val="both"/>
              <w:rPr>
                <w:rFonts w:ascii="宋体" w:hAnsi="宋体" w:eastAsia="宋体" w:cs="宋体"/>
                <w:color w:val="auto"/>
                <w:sz w:val="20"/>
                <w:szCs w:val="20"/>
                <w:highlight w:val="yellow"/>
                <w:lang w:eastAsia="zh-CN"/>
              </w:rPr>
            </w:pPr>
            <w:r>
              <w:rPr>
                <w:rFonts w:hint="eastAsia" w:ascii="宋体" w:hAnsi="宋体" w:eastAsia="宋体" w:cs="宋体"/>
                <w:color w:val="auto"/>
                <w:sz w:val="20"/>
                <w:szCs w:val="20"/>
                <w:highlight w:val="yellow"/>
                <w:lang w:eastAsia="zh-CN"/>
              </w:rPr>
              <w:t>符合国家、广西及本单位医疗政策要求的其他个性化需求：一号管三天、全院一张床、预住院、一发票两清单、处方流转、危急重病、特殊专病、医保慢病管理、日间手术管理、医生智能</w:t>
            </w:r>
            <w:r>
              <w:rPr>
                <w:rFonts w:ascii="宋体" w:hAnsi="宋体" w:eastAsia="宋体" w:cs="宋体"/>
                <w:color w:val="auto"/>
                <w:sz w:val="20"/>
                <w:szCs w:val="20"/>
                <w:highlight w:val="yellow"/>
                <w:lang w:eastAsia="zh-CN"/>
              </w:rPr>
              <w:t>ICD</w:t>
            </w:r>
            <w:r>
              <w:rPr>
                <w:rFonts w:hint="eastAsia" w:ascii="宋体" w:hAnsi="宋体" w:eastAsia="宋体" w:cs="宋体"/>
                <w:color w:val="auto"/>
                <w:sz w:val="20"/>
                <w:szCs w:val="20"/>
                <w:highlight w:val="yellow"/>
                <w:lang w:eastAsia="zh-CN"/>
              </w:rPr>
              <w:t>编码及</w:t>
            </w:r>
            <w:r>
              <w:rPr>
                <w:rFonts w:ascii="宋体" w:hAnsi="宋体" w:eastAsia="宋体" w:cs="宋体"/>
                <w:color w:val="auto"/>
                <w:sz w:val="20"/>
                <w:szCs w:val="20"/>
                <w:highlight w:val="yellow"/>
                <w:lang w:eastAsia="zh-CN"/>
              </w:rPr>
              <w:t>DRG</w:t>
            </w:r>
            <w:r>
              <w:rPr>
                <w:rFonts w:hint="eastAsia" w:ascii="宋体" w:hAnsi="宋体" w:eastAsia="宋体" w:cs="宋体"/>
                <w:color w:val="auto"/>
                <w:sz w:val="20"/>
                <w:szCs w:val="20"/>
                <w:highlight w:val="yellow"/>
                <w:lang w:eastAsia="zh-CN"/>
              </w:rPr>
              <w:t>预分组功能等。</w:t>
            </w:r>
          </w:p>
          <w:p w14:paraId="579B5831">
            <w:pPr>
              <w:numPr>
                <w:ilvl w:val="0"/>
                <w:numId w:val="1"/>
              </w:numPr>
              <w:spacing w:line="340" w:lineRule="exact"/>
              <w:ind w:right="42" w:rightChars="20"/>
              <w:jc w:val="both"/>
              <w:rPr>
                <w:rFonts w:ascii="宋体" w:hAnsi="宋体" w:eastAsia="宋体" w:cs="宋体"/>
                <w:color w:val="auto"/>
                <w:sz w:val="20"/>
                <w:szCs w:val="20"/>
                <w:highlight w:val="yellow"/>
                <w:lang w:eastAsia="zh-CN"/>
              </w:rPr>
            </w:pPr>
            <w:r>
              <w:rPr>
                <w:rFonts w:hint="eastAsia" w:ascii="宋体" w:hAnsi="宋体" w:eastAsia="宋体" w:cs="宋体"/>
                <w:color w:val="auto"/>
                <w:sz w:val="20"/>
                <w:szCs w:val="20"/>
                <w:highlight w:val="yellow"/>
                <w:lang w:eastAsia="zh-CN"/>
              </w:rPr>
              <w:t>软件需要的硬件支持平台配置方案，按照</w:t>
            </w:r>
            <w:r>
              <w:rPr>
                <w:rFonts w:ascii="宋体" w:hAnsi="宋体" w:eastAsia="宋体" w:cs="宋体"/>
                <w:color w:val="auto"/>
                <w:sz w:val="20"/>
                <w:szCs w:val="20"/>
                <w:highlight w:val="yellow"/>
                <w:lang w:eastAsia="zh-CN"/>
              </w:rPr>
              <w:t>5-7</w:t>
            </w:r>
            <w:r>
              <w:rPr>
                <w:rFonts w:hint="eastAsia" w:ascii="宋体" w:hAnsi="宋体" w:eastAsia="宋体" w:cs="宋体"/>
                <w:color w:val="auto"/>
                <w:sz w:val="20"/>
                <w:szCs w:val="20"/>
                <w:highlight w:val="yellow"/>
                <w:lang w:eastAsia="zh-CN"/>
              </w:rPr>
              <w:t>年生命周期进行设计，并提供信创硬件与数据库和按国家要求的密改解决方案。</w:t>
            </w:r>
          </w:p>
          <w:p w14:paraId="7A31ED18">
            <w:pPr>
              <w:numPr>
                <w:ilvl w:val="0"/>
                <w:numId w:val="1"/>
              </w:numPr>
              <w:spacing w:line="340" w:lineRule="exact"/>
              <w:ind w:right="42" w:rightChars="20"/>
              <w:jc w:val="both"/>
              <w:rPr>
                <w:rFonts w:ascii="宋体" w:hAnsi="宋体" w:eastAsia="宋体" w:cs="宋体"/>
                <w:color w:val="auto"/>
                <w:sz w:val="20"/>
                <w:szCs w:val="20"/>
                <w:lang w:eastAsia="zh-CN"/>
              </w:rPr>
            </w:pPr>
            <w:r>
              <w:rPr>
                <w:rFonts w:hint="eastAsia" w:ascii="宋体" w:hAnsi="宋体" w:eastAsia="宋体" w:cs="宋体"/>
                <w:color w:val="auto"/>
                <w:sz w:val="20"/>
                <w:szCs w:val="20"/>
                <w:highlight w:val="yellow"/>
                <w:lang w:eastAsia="zh-CN"/>
              </w:rPr>
              <w:t>提供售后技术服务方案设计。</w:t>
            </w:r>
          </w:p>
          <w:p w14:paraId="019602FD">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2.项目设计的内容必须符合采购人对项目建设统一的规划及部署要求，必须以“统一规划、统一标准、技术先进、突出应用、稳定可靠、资源共享、信息安全”为原则，同时又要充分考虑系统的“兼容性、扩展性、经济型、纵深防护性”，确保系统的设计和建设满足实际需求。前期咨询设计应有一定的高度、深度和广度，投资估</w:t>
            </w:r>
            <w:r>
              <w:rPr>
                <w:rFonts w:ascii="宋体" w:hAnsi="宋体" w:eastAsia="宋体" w:cs="宋体"/>
                <w:color w:val="auto"/>
                <w:sz w:val="20"/>
                <w:szCs w:val="20"/>
                <w:lang w:eastAsia="zh-CN"/>
              </w:rPr>
              <w:t>/</w:t>
            </w:r>
            <w:r>
              <w:rPr>
                <w:rFonts w:hint="eastAsia" w:ascii="宋体" w:hAnsi="宋体" w:eastAsia="宋体" w:cs="宋体"/>
                <w:color w:val="auto"/>
                <w:sz w:val="20"/>
                <w:szCs w:val="20"/>
                <w:lang w:eastAsia="zh-CN"/>
              </w:rPr>
              <w:t>概算报告统筹发展性和经济性，要应做到方案科学，易于扩展。</w:t>
            </w:r>
          </w:p>
          <w:p w14:paraId="77D0E233">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3</w:t>
            </w:r>
            <w:r>
              <w:rPr>
                <w:rFonts w:ascii="宋体" w:hAnsi="宋体" w:eastAsia="宋体" w:cs="宋体"/>
                <w:color w:val="auto"/>
                <w:sz w:val="20"/>
                <w:szCs w:val="20"/>
                <w:lang w:eastAsia="zh-CN"/>
              </w:rPr>
              <w:t>.</w:t>
            </w:r>
            <w:r>
              <w:rPr>
                <w:rFonts w:hint="eastAsia" w:ascii="宋体" w:hAnsi="宋体" w:eastAsia="宋体" w:cs="宋体"/>
                <w:color w:val="auto"/>
                <w:sz w:val="20"/>
                <w:szCs w:val="20"/>
                <w:lang w:eastAsia="zh-CN"/>
              </w:rPr>
              <w:t>供应商运用的标准、规范和控制过程的程序应满足现行最新版本的国家标准和行业标准；如果遇到规范之间的相互冲突，除非采购单位明确指定，否则按照更严格的标准执行。</w:t>
            </w:r>
          </w:p>
          <w:p w14:paraId="528B1356">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4</w:t>
            </w:r>
            <w:r>
              <w:rPr>
                <w:rFonts w:ascii="宋体" w:hAnsi="宋体" w:eastAsia="宋体" w:cs="宋体"/>
                <w:color w:val="auto"/>
                <w:sz w:val="20"/>
                <w:szCs w:val="20"/>
                <w:lang w:eastAsia="zh-CN"/>
              </w:rPr>
              <w:t>.</w:t>
            </w:r>
            <w:r>
              <w:rPr>
                <w:rFonts w:hint="eastAsia" w:ascii="宋体" w:hAnsi="宋体" w:eastAsia="宋体" w:cs="宋体"/>
                <w:color w:val="auto"/>
                <w:sz w:val="20"/>
                <w:szCs w:val="20"/>
                <w:lang w:eastAsia="zh-CN"/>
              </w:rPr>
              <w:t>合同签署后，采购人有权按照合同、有关附件规定的条件和项目主管部门的要求，随时调整工作内容和工作范围。</w:t>
            </w:r>
          </w:p>
          <w:p w14:paraId="28DFC8C7">
            <w:pPr>
              <w:spacing w:line="340" w:lineRule="exact"/>
              <w:ind w:left="42" w:leftChars="20" w:right="42" w:rightChars="20" w:firstLine="402" w:firstLineChars="200"/>
              <w:jc w:val="both"/>
              <w:rPr>
                <w:rFonts w:ascii="宋体" w:hAnsi="宋体" w:eastAsia="宋体" w:cs="宋体"/>
                <w:b/>
                <w:bCs/>
                <w:color w:val="auto"/>
                <w:sz w:val="20"/>
                <w:szCs w:val="20"/>
                <w:lang w:eastAsia="zh-CN"/>
              </w:rPr>
            </w:pPr>
            <w:r>
              <w:rPr>
                <w:rFonts w:hint="eastAsia" w:ascii="宋体" w:hAnsi="宋体" w:eastAsia="宋体" w:cs="宋体"/>
                <w:b/>
                <w:bCs/>
                <w:color w:val="auto"/>
                <w:sz w:val="20"/>
                <w:szCs w:val="20"/>
                <w:lang w:eastAsia="zh-CN"/>
              </w:rPr>
              <w:t>四、项目编制服务及技术要求(包括但不限于)</w:t>
            </w:r>
          </w:p>
          <w:p w14:paraId="67DA4D30">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(一)总则</w:t>
            </w:r>
          </w:p>
          <w:p w14:paraId="5D4E6FB1">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1.按照国内外领先的方法论进行，包括顶层设计方法理论、信息资源规划理论(IRP)、UML建模设计等方法论，在对建设单位现状全面调研和梳理、评估的基础上，制定应用架构、技术架构、信息安全体系、运维体系等建设总体设计方案，为项目的实施提供科学化、规范化、可持续的方案指导，最终目的是做好项目设计，保证统一高效、资源整合、互联互通、信息共享目标的实现，以提升信息化建设的管理水平。</w:t>
            </w:r>
          </w:p>
          <w:p w14:paraId="7B93D8DF">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2.项目设计和咨询分析应符合国家相关标准规范及国家电子政务建设的要求，结合项目建设实际需求，从架构规划、功能需求、系统性能、系统配置等方面对项目进行规划设计。同时，要求项目建设方案科学，易于扩展，符合信息技术与管理的发展方向。</w:t>
            </w:r>
          </w:p>
          <w:p w14:paraId="5C9522EC">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3.根据国家相关设计标准规范要求进行系统设计，描述系统的构成、分级与组成，设计系统的配置，对系统性能指标和测试要求等进行说明。</w:t>
            </w:r>
          </w:p>
          <w:p w14:paraId="0B14F056">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4.根据项目的建设内容，明确提出软硬件设备配置原则和系统软硬件配置设备清单，包括：设备及软件性能指标及参数、数量；提出国产化和自主品牌软硬件配置清单比例；分别列出各应用系统开发工作量测算表。</w:t>
            </w:r>
          </w:p>
          <w:p w14:paraId="40A4C159">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5.本设计要求提供的是最低限度的技术要求，并未对一切技术细节做出规定，也未充分引述有关标准和规范的条文，成交人应遵循可靠、先进、经济、实用、保密、环保、节能及可持续发展的原则，围绕项目建设单位的信息化建设统一规划，方案必须具有前瞻性和科学性，保证提供符合本设计的优质服务。</w:t>
            </w:r>
          </w:p>
          <w:p w14:paraId="3D4AAF79">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6.成交人运用的标准、规范和控制过程的程序应满足现行最新版本的国家标准和行业标准；如果遇到规范之间的相互冲突，除非采购人明确指定，否则按照更严格的标准执行。</w:t>
            </w:r>
          </w:p>
          <w:p w14:paraId="16C2F50E">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7.采购人保留在签订合同前对本设计要求具有补充和修改的权利，成交人应认可及配合，如提出修改，具体事项由成交人与采购人另行商定。</w:t>
            </w:r>
          </w:p>
          <w:p w14:paraId="7FA54B11">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8.合同签署后，采购人有权利按照合同、有关附件规定的条件和项目审批主管部门的要求，在建设的范围内，随时调整工作内容和工作范围。</w:t>
            </w:r>
          </w:p>
          <w:p w14:paraId="6D2CE6F6">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9.除本采购文件外，采购人还将为成交人提供本项目的前期相关技术资料。采购人向成交人提供的与本招标活动有关的所有资料，成交人有义务为采购人保守机密，并签订保密协议。同时，必须严格做好与本项目有关资料的保密工作，保密资料包括(但不限于)建设数据、设计需求、功能规划、招标设备配置清单等信息，均不得泄露给第三方。成交人不得再参与与本设计服务所涉及建设项目的相关招投标活动，以保证项目建设招标公平公正。</w:t>
            </w:r>
          </w:p>
          <w:p w14:paraId="55C706DF">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10.成交人应对所编制内容提供后续的技术监督和指导。</w:t>
            </w:r>
          </w:p>
          <w:p w14:paraId="2E280959">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(二)项目咨询设计及编制要求(包括但不限于)</w:t>
            </w:r>
          </w:p>
          <w:p w14:paraId="6AC9092E">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1.本项目建设成果应可作为后期具体子项目建设实施和招标的重要依据和指导文件，设计方案要求内容全面、合理可行。</w:t>
            </w:r>
          </w:p>
          <w:p w14:paraId="007125B2">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2.在开展设计过程中，应研究项目的建设背景，分析项目建设要求，立足于需求分析、调研结果，提出内容完备的项目建设设计方案，对项目所涉及的百色中医医院电子病历升级改造系统整体架构、业务应用管理平台体系、技术支撑体系、数据资源体系、综合管理运维体系、安全保障体系，以及政务云、网络存储、安全等基础设施体系进行综合比选；细化各组成部分的功能、性能、安全要求、技术要点和技术方案，对项目的建设、运行管理和维护等方面制定相应的方案，详细掌握当前国家和自治区的要求，做好本项目设计。</w:t>
            </w:r>
          </w:p>
          <w:p w14:paraId="5DE4D327">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3.基于科学的方法论对项目涉及规划建设相关业务进行业务需求的收集、梳理及规整，理清业务、流程、边界和范围，详细掌握业务、数据、技术和系统现状，做好业务架构设计，要求业务颗粒度适中。既保证业务方案的深度，又要防止过细带来的实施成本问题。</w:t>
            </w:r>
          </w:p>
          <w:p w14:paraId="10E52F33">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4.从数据、技术和业务出发，制定系统建设标准规范，制定相关数据、技术和业务标准，为资源共享提供标准规范体系支撑。</w:t>
            </w:r>
          </w:p>
          <w:p w14:paraId="7B35A05B">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5.总体设计要支持和协助用户确定业务发展的近期、中期和长期需求，在现有信息化的基础上，提出切实可行的建设的具体目标和任务，并制定实施策略。</w:t>
            </w:r>
          </w:p>
          <w:p w14:paraId="12B1C699">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6.总体设计的有关技术方案应至少符合国家大型电子政务信息系统概要设计要求。</w:t>
            </w:r>
          </w:p>
          <w:p w14:paraId="7CDE3B87">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7.总体设计应符合国家及自治区有关要求。同时，设计中引用、套用国家相关专业的设计规范、标准及新的相关专业的技术标准和要求时，应准确引用和套用。</w:t>
            </w:r>
          </w:p>
          <w:p w14:paraId="133FB4BB">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8.设计采用新技术、新设备、新材料应说明其技术性能指标和相关要求。同时，应符合系统开放性、可维护性、支持快速迭代和演化、支持大负载响应的设计要求。</w:t>
            </w:r>
          </w:p>
          <w:p w14:paraId="1C4969B3">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9.设计中所配置的设备和材料，必须是技术先进，性能可靠，安全适用，经济合理，扩容容易等特点的优质产品。</w:t>
            </w:r>
          </w:p>
          <w:p w14:paraId="0FE2C5E7">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10.总体设计应根据有关国家标准、规范，参照国际上通用规则，结合信息化建设所需实现的功能、项目施工环境等具体特点，保证系统的简便性、实用性等特点。</w:t>
            </w:r>
          </w:p>
          <w:p w14:paraId="5228F96A">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11.设计整体技术架构，结合项目建设实际情况，充分利用现有云平台的基础设施资源，根据项目建设实际需求规划服务器、存储、网络以及安全保障资源。</w:t>
            </w:r>
          </w:p>
          <w:p w14:paraId="1712D673">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12.项目设计及编制要达到《广西壮族自治区人民政府办公厅关于印发广西政务信息化项目建设管理办法的通知》（桂政办发〔2024〕59号）规定的文档格式和编制要求，同时，设计文件以满足采购人的建设需求以及通过审批主管部门的审批为交付标准，如项目不能通过审批主管部门审批，设计单位承诺按审批主管部门的要求修改直至最终通过。</w:t>
            </w:r>
          </w:p>
          <w:p w14:paraId="68C9DFF8">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(三)项目概算编制要求(包括但不限于)</w:t>
            </w:r>
          </w:p>
          <w:p w14:paraId="1860A34F">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1.项目投资概算编制包括项目的总概算和各项明细费用概算，概算要科学、合理。</w:t>
            </w:r>
          </w:p>
          <w:p w14:paraId="2877F5B4">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2.概算编制依据：列举所依据的重要法律法规、文件、引用的国家标准和行业标准等名称及具体引用条款内容，并将其中必要的部分全文附后，作为报告的附件。包括概算编制的原则和依据；设备、软件的价格获取方式和确认途径；各种取费依据和标准等，并评价其合理性。</w:t>
            </w:r>
          </w:p>
          <w:p w14:paraId="526F2491">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3.明确项目所需总投资及其构成，包括工程建设费用、工程建设其他费用和预备费。对投资概算总表中设备购置费内各分项及商业软件部分要提供“项目软硬件配置清单”，包括名称、参考型号、主要参数、数量、单价及其折扣率、部署地点等详细信息；对定制开发应用软件应根据实际需求按照软件工程的规范及要求初步测算各阶段所需工作量、不同类型的技术人员及其对应的人工费用。</w:t>
            </w:r>
          </w:p>
          <w:p w14:paraId="5D6C99D3">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4.结合项目具体情况，提出项目的资金筹措方案，并分项说明资金来源及使用计划。</w:t>
            </w:r>
          </w:p>
          <w:p w14:paraId="1C50542B">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5.结合系统运维方案，对系统建成后的年度运行经费进行估算，说明运行维护的经费来源和使用计划，提供运行维护的人员工资、相关待遇，系统运行所需备件、配件及电力耗损等费用预算。</w:t>
            </w:r>
          </w:p>
          <w:p w14:paraId="7B74966A">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6.所有概算表要提供可编辑的电子版本，所有相关数据需建立计算公式，分表与总表建立链接。同时，必须采用符合自治区住房城乡建设厅《关于公布2016年建设工程计价软件符合性测评合格名单的通知》（桂建价〔2016〕1号）文件要求的合格计价软件，并根据自治区住房城乡建设厅关于颁布《2018年广西壮族自治区工程建设其他费用定额》的通知（桂建标〔2018〕37号）及《广西壮族自治区本级政务信息化建设和运维项目预算支出标准》的通知（桂财建〔2023〕102号）文件要求套用各项设备、软件的定额，完成项目概算取费。</w:t>
            </w:r>
          </w:p>
          <w:p w14:paraId="20BBE9F0">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7.详细要求参照《广西壮族自治区人民政府办公厅关于印发广西政务信息化项目建设管理办法的通知》（桂政办发〔2024〕59号）规定的文档格式和编制要求，并按照自治区住房城乡建设厅关于颁布《2018年广西壮族自治区工程建设其他费用定额》的通知（桂建标〔2018〕37号）等现行相关规范、标准等规定进行概预算书编制。</w:t>
            </w:r>
          </w:p>
          <w:p w14:paraId="0EE71D98">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(四)图纸设计要求(包括但不限于)</w:t>
            </w:r>
          </w:p>
          <w:p w14:paraId="269C92E1">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1.项目设计的内容为下一步工程实施提供依据。</w:t>
            </w:r>
          </w:p>
          <w:p w14:paraId="2F6F193A">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2.本设计要求提供的是最低限度的技术要求，并未对一切技术细节做出规定，也未充分引述有关标准和规范的条文，投标人应遵循可靠、先进、经济、实用、保密、环保、节能及可持续发展的原则，提供优质服务。</w:t>
            </w:r>
          </w:p>
          <w:p w14:paraId="1BEC8650">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3.设计中引用、套用国家相关专业的设计规范、标准及新的相关专业的技术标准和要求时，应准确引用和套用。</w:t>
            </w:r>
          </w:p>
          <w:p w14:paraId="5103363E">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4.设计采用新技术、新设备、新材料应说明其技术性能指标和相关要求。</w:t>
            </w:r>
          </w:p>
          <w:p w14:paraId="12DC09CC">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5.图纸应清晰可见，线条粗细分明，文字端正，所标尺寸正确无误，确实能指导施工操作。</w:t>
            </w:r>
          </w:p>
          <w:p w14:paraId="0CC009F3">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(五)项目文件格式要求(包括但不限于)</w:t>
            </w:r>
          </w:p>
          <w:p w14:paraId="5DFB7289">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1.整体设计文本应格式一致、名称统一，避免出现不同设计人员的不同设计风格。</w:t>
            </w:r>
          </w:p>
          <w:p w14:paraId="55C135C0">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2.设计文件应按照国家标准和部颁(行业)设计规范要求的相关原则套用。设计文件的文字、名词、计量单位等，都应采用现行的国家标准和部颁(行业)标准。</w:t>
            </w:r>
          </w:p>
          <w:p w14:paraId="62065706">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3.设计文件的编印应符合规范化、标准化的要求，包括：设计说明书页张篇幅及各号图纸大小篇幅应符合国家标准规定尺寸；设计文件册的封面必须能表示出设计项目的全名、分册编号及工程名称。设计文件的分册由设计单位与建设单位协商后决定。</w:t>
            </w:r>
          </w:p>
          <w:p w14:paraId="6797AEFE">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4.图纸要求采用MicrosoftVisio2007以上版本或AutoCAD2007以上版本进行绘制；文档采用MicrosoftOffice2013或WPS2019及以上版本软件编制：计算要求采用国内外通行的商业软件，并最终形成具有公式关联计算关系的MicrosoftExcel2013或WPS表格2019及以上版本的电子表格。</w:t>
            </w:r>
          </w:p>
          <w:p w14:paraId="5FFEF376">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5.设计文件的编制和装订应符合建设单位项目申报、归档保存要求。</w:t>
            </w:r>
          </w:p>
          <w:p w14:paraId="18EB3B57">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(六)项目设计深度要求</w:t>
            </w:r>
          </w:p>
          <w:p w14:paraId="163B2E1E">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设计文件的编制必须遵循所确定的内容、要求、基础资料及调研成果进行编制，充分结合项目实际情况，总体设计应采用国际先进成熟的技术架构，符合信息化发展趋势及相关技术和安全标准规范，设计深度应达到并高于行业内相关标准，能够满足采购人和项目审批主管部门的相关审查要求，并保证设计通过。</w:t>
            </w:r>
          </w:p>
          <w:p w14:paraId="172F7B25">
            <w:pPr>
              <w:spacing w:line="340" w:lineRule="exact"/>
              <w:ind w:left="42" w:leftChars="20" w:right="42" w:rightChars="20" w:firstLine="402" w:firstLineChars="200"/>
              <w:jc w:val="both"/>
              <w:rPr>
                <w:rFonts w:ascii="宋体" w:hAnsi="宋体" w:eastAsia="宋体" w:cs="宋体"/>
                <w:b/>
                <w:bCs/>
                <w:color w:val="auto"/>
                <w:sz w:val="20"/>
                <w:szCs w:val="20"/>
                <w:lang w:eastAsia="zh-CN"/>
              </w:rPr>
            </w:pPr>
            <w:r>
              <w:rPr>
                <w:rFonts w:hint="eastAsia" w:ascii="宋体" w:hAnsi="宋体" w:eastAsia="宋体" w:cs="宋体"/>
                <w:b/>
                <w:bCs/>
                <w:color w:val="auto"/>
                <w:sz w:val="20"/>
                <w:szCs w:val="20"/>
                <w:lang w:eastAsia="zh-CN"/>
              </w:rPr>
              <w:t>五、项目后续服务要求</w:t>
            </w:r>
          </w:p>
          <w:p w14:paraId="1456BF79">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设计成果交付后，成交人需跟进项目设计中所有项目建设的全过程，为建设单位提供设计方案交底、技术评审、技术分析等技术服务，并参与相关工作，确保建设单位的思路及总体设计意图得到实施和落实。具体要求包括但不限于以下内容：</w:t>
            </w:r>
          </w:p>
          <w:p w14:paraId="64A11141">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1.设计方案交底：(1)在项目建设实施过程中，对建设单位及项目承建单位进行技术交底，包括但不限于设计的设计思路、技术选型、产品功能特点、质量要求以及其他技术细节等；(2)解答建设单位及项目承建单位提出的对设计不清楚或不明确的疑问，并要求投标时提供咨询相关联络人及联系方式。联络人联系方式要求保持工作日8小时畅通；</w:t>
            </w:r>
          </w:p>
          <w:p w14:paraId="74DBEBC8">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2.技术评审：根据项目建设情况和实际情况，成交人参与项目实施过程重要里程碑的评审和验证，及时提交评审意见给建设单位。不定期在项目实施过程中参加现场检查，确认是否满足设计规范与设计要求。</w:t>
            </w:r>
          </w:p>
          <w:p w14:paraId="489F0B2A">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3.招标需求：协助业主编制项目招标采购需求、项目采购内容等文件。</w:t>
            </w:r>
          </w:p>
          <w:p w14:paraId="1F71D811">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4.技术分析：实施过程中发生了质量事故或形成质量隐患时，由承建单位组织有关方参加技术分析，成交人应派负责人参加，并提出分析意见。</w:t>
            </w:r>
          </w:p>
          <w:p w14:paraId="3CB7055B">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5.服务商必须保持与采购单位的联系，随时交流系统的应用情况，成立专门的工作小组负责项目技术支持与指导，对整个项目的实施过程进行技术监督和指导。</w:t>
            </w:r>
          </w:p>
          <w:p w14:paraId="3F88EF71">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6.自项目验收合格后1年内，提供修改、解释、补充设计、技术服务等技术工作。</w:t>
            </w:r>
          </w:p>
          <w:p w14:paraId="05632ED9">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7.成交人应对在提供服务过程中接触到项目相关资料信息安全保密，不得以任何方式复制留存、泄露所接触、知悉项目信息。</w:t>
            </w:r>
          </w:p>
          <w:p w14:paraId="767B0709">
            <w:pPr>
              <w:spacing w:line="340" w:lineRule="exact"/>
              <w:ind w:left="42" w:leftChars="20" w:right="42" w:rightChars="20" w:firstLine="402" w:firstLineChars="200"/>
              <w:jc w:val="both"/>
              <w:rPr>
                <w:rFonts w:ascii="宋体" w:hAnsi="宋体" w:eastAsia="宋体" w:cs="宋体"/>
                <w:b/>
                <w:bCs/>
                <w:color w:val="auto"/>
                <w:sz w:val="20"/>
                <w:szCs w:val="20"/>
                <w:lang w:eastAsia="zh-CN"/>
              </w:rPr>
            </w:pPr>
            <w:r>
              <w:rPr>
                <w:rFonts w:hint="eastAsia" w:ascii="宋体" w:hAnsi="宋体" w:eastAsia="宋体" w:cs="宋体"/>
                <w:b/>
                <w:bCs/>
                <w:color w:val="auto"/>
                <w:sz w:val="20"/>
                <w:szCs w:val="20"/>
                <w:lang w:eastAsia="zh-CN"/>
              </w:rPr>
              <w:t>六、项目服务成果及交付要求</w:t>
            </w:r>
          </w:p>
          <w:p w14:paraId="4B93FA78">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ascii="宋体" w:hAnsi="宋体" w:eastAsia="宋体" w:cs="宋体"/>
                <w:color w:val="auto"/>
                <w:sz w:val="20"/>
                <w:szCs w:val="20"/>
                <w:lang w:eastAsia="zh-CN"/>
              </w:rPr>
              <w:t>1.</w:t>
            </w:r>
            <w:r>
              <w:rPr>
                <w:rFonts w:hint="eastAsia" w:ascii="宋体" w:hAnsi="宋体" w:eastAsia="宋体" w:cs="宋体"/>
                <w:color w:val="auto"/>
                <w:sz w:val="20"/>
                <w:szCs w:val="20"/>
                <w:lang w:eastAsia="zh-CN"/>
              </w:rPr>
              <w:t>交付内容（包含但不限于）</w:t>
            </w:r>
          </w:p>
          <w:p w14:paraId="6FE8E02F">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(1)按国家</w:t>
            </w:r>
            <w:r>
              <w:rPr>
                <w:rFonts w:hint="eastAsia" w:ascii="宋体" w:hAnsi="宋体" w:eastAsia="宋体" w:cs="宋体"/>
                <w:color w:val="auto"/>
                <w:sz w:val="20"/>
                <w:szCs w:val="20"/>
                <w:highlight w:val="green"/>
                <w:lang w:eastAsia="zh-CN"/>
              </w:rPr>
              <w:t>电子病历四级评审要求及三级医院信息化建设要求</w:t>
            </w:r>
            <w:r>
              <w:rPr>
                <w:rFonts w:hint="eastAsia" w:ascii="宋体" w:hAnsi="宋体" w:eastAsia="宋体" w:cs="宋体"/>
                <w:color w:val="auto"/>
                <w:sz w:val="20"/>
                <w:szCs w:val="20"/>
                <w:lang w:eastAsia="zh-CN"/>
              </w:rPr>
              <w:t>提供需求参数。</w:t>
            </w:r>
          </w:p>
          <w:p w14:paraId="23B1D9C9">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(2)技术解决方案：</w:t>
            </w:r>
          </w:p>
          <w:p w14:paraId="7C05AAD4">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highlight w:val="yellow"/>
                <w:lang w:eastAsia="zh-CN"/>
              </w:rPr>
              <w:t>电子病历四级评审要求升级改造方案，包括HIS、医生工作站、护士工作站、电子病历等功能改造，信息平台、数据中心对接方案，DeepSeek人工智能病历质控、智能辅助病历生成、报告解读、智能辅助决策等建设方案，按电子病历四级评审要求其他硬件升级要求及对接方案，按最优硬件平台提供配置方案，同时提供信创硬件与数据库，按国家要求的密改解决方案。</w:t>
            </w:r>
          </w:p>
          <w:p w14:paraId="6E772397">
            <w:pPr>
              <w:spacing w:line="340" w:lineRule="exact"/>
              <w:ind w:left="42" w:leftChars="20" w:right="42" w:rightChars="20" w:firstLine="400" w:firstLineChars="200"/>
              <w:jc w:val="both"/>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 xml:space="preserve"> (</w:t>
            </w:r>
            <w:r>
              <w:rPr>
                <w:rFonts w:ascii="宋体" w:hAnsi="宋体" w:eastAsia="宋体" w:cs="宋体"/>
                <w:color w:val="auto"/>
                <w:sz w:val="20"/>
                <w:szCs w:val="20"/>
                <w:lang w:eastAsia="zh-CN"/>
              </w:rPr>
              <w:t>3</w:t>
            </w:r>
            <w:r>
              <w:rPr>
                <w:rFonts w:hint="eastAsia" w:ascii="宋体" w:hAnsi="宋体" w:eastAsia="宋体" w:cs="宋体"/>
                <w:color w:val="auto"/>
                <w:sz w:val="20"/>
                <w:szCs w:val="20"/>
                <w:lang w:eastAsia="zh-CN"/>
              </w:rPr>
              <w:t>)项目建设方案、项目投资概算书、设备购置清单、商品软件购置清单等材料。</w:t>
            </w:r>
          </w:p>
          <w:p w14:paraId="2894F282">
            <w:pPr>
              <w:spacing w:line="340" w:lineRule="exact"/>
              <w:ind w:left="42" w:leftChars="20" w:right="42" w:rightChars="20" w:firstLine="400" w:firstLineChars="200"/>
              <w:jc w:val="both"/>
              <w:rPr>
                <w:rFonts w:hint="eastAsia" w:ascii="宋体" w:hAnsi="宋体" w:eastAsia="宋体" w:cs="宋体"/>
                <w:color w:val="auto"/>
                <w:sz w:val="20"/>
                <w:szCs w:val="20"/>
                <w:lang w:eastAsia="zh-CN"/>
              </w:rPr>
            </w:pPr>
          </w:p>
          <w:p w14:paraId="0AB846D3">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ascii="宋体" w:hAnsi="宋体" w:eastAsia="宋体" w:cs="宋体"/>
                <w:color w:val="auto"/>
                <w:sz w:val="20"/>
                <w:szCs w:val="20"/>
                <w:lang w:eastAsia="zh-CN"/>
              </w:rPr>
              <w:t>2.</w:t>
            </w:r>
            <w:r>
              <w:rPr>
                <w:rFonts w:hint="eastAsia" w:ascii="宋体" w:hAnsi="宋体" w:eastAsia="宋体" w:cs="宋体"/>
                <w:color w:val="auto"/>
                <w:sz w:val="20"/>
                <w:szCs w:val="20"/>
                <w:lang w:eastAsia="zh-CN"/>
              </w:rPr>
              <w:t>提交要求</w:t>
            </w:r>
          </w:p>
          <w:p w14:paraId="50409723">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w:t>
            </w:r>
            <w:r>
              <w:rPr>
                <w:rFonts w:ascii="宋体" w:hAnsi="宋体" w:eastAsia="宋体" w:cs="宋体"/>
                <w:color w:val="auto"/>
                <w:sz w:val="20"/>
                <w:szCs w:val="20"/>
                <w:lang w:eastAsia="zh-CN"/>
              </w:rPr>
              <w:t>1</w:t>
            </w:r>
            <w:r>
              <w:rPr>
                <w:rFonts w:hint="eastAsia" w:ascii="宋体" w:hAnsi="宋体" w:eastAsia="宋体" w:cs="宋体"/>
                <w:color w:val="auto"/>
                <w:sz w:val="20"/>
                <w:szCs w:val="20"/>
                <w:lang w:eastAsia="zh-CN"/>
              </w:rPr>
              <w:t>)成交供应商须向采购人移交本项目服务成果文件建设方案和项目概算纸质件一式肆份，其他资料一式一份，包括但不限于全套文件及其电子文档，其中电子文档以只读光盘存储。</w:t>
            </w:r>
          </w:p>
          <w:p w14:paraId="20904579">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w:t>
            </w:r>
            <w:r>
              <w:rPr>
                <w:rFonts w:ascii="宋体" w:hAnsi="宋体" w:eastAsia="宋体" w:cs="宋体"/>
                <w:color w:val="auto"/>
                <w:sz w:val="20"/>
                <w:szCs w:val="20"/>
                <w:lang w:eastAsia="zh-CN"/>
              </w:rPr>
              <w:t>2</w:t>
            </w:r>
            <w:r>
              <w:rPr>
                <w:rFonts w:hint="eastAsia" w:ascii="宋体" w:hAnsi="宋体" w:eastAsia="宋体" w:cs="宋体"/>
                <w:color w:val="auto"/>
                <w:sz w:val="20"/>
                <w:szCs w:val="20"/>
                <w:lang w:eastAsia="zh-CN"/>
              </w:rPr>
              <w:t>)服务成果须通过相关部门的评审。</w:t>
            </w:r>
          </w:p>
          <w:p w14:paraId="7AE03B66">
            <w:pPr>
              <w:spacing w:line="340" w:lineRule="exact"/>
              <w:ind w:left="42" w:leftChars="20" w:right="42" w:rightChars="20" w:firstLine="402" w:firstLineChars="200"/>
              <w:jc w:val="both"/>
              <w:rPr>
                <w:rFonts w:ascii="宋体" w:hAnsi="宋体" w:eastAsia="宋体" w:cs="宋体"/>
                <w:b/>
                <w:bCs/>
                <w:color w:val="auto"/>
                <w:sz w:val="20"/>
                <w:szCs w:val="20"/>
                <w:lang w:eastAsia="zh-CN"/>
              </w:rPr>
            </w:pPr>
            <w:r>
              <w:rPr>
                <w:rFonts w:hint="eastAsia" w:ascii="宋体" w:hAnsi="宋体" w:eastAsia="宋体" w:cs="宋体"/>
                <w:b/>
                <w:bCs/>
                <w:color w:val="auto"/>
                <w:sz w:val="20"/>
                <w:szCs w:val="20"/>
                <w:lang w:eastAsia="zh-CN"/>
              </w:rPr>
              <w:t>七、保密要求</w:t>
            </w:r>
          </w:p>
          <w:p w14:paraId="47F802D5">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成交供应商应以谨慎态度对待采购人提供的资料信息，供应商项目组成员应采取必要的措施对收到的资料信息进行存档和保密，避免任何其他第三方及无关人员获此信息。成交供应商不得将资料信息用于本次服务以外的任何用途、不得对资料信息进行复制或利用其进行新的研究或开发。</w:t>
            </w:r>
          </w:p>
          <w:p w14:paraId="6E92AD81">
            <w:pPr>
              <w:spacing w:line="340" w:lineRule="exact"/>
              <w:ind w:left="42" w:leftChars="20" w:right="42" w:rightChars="20" w:firstLine="402" w:firstLineChars="200"/>
              <w:jc w:val="both"/>
              <w:rPr>
                <w:rFonts w:ascii="宋体" w:hAnsi="宋体" w:eastAsia="宋体" w:cs="宋体"/>
                <w:b/>
                <w:bCs/>
                <w:color w:val="auto"/>
                <w:sz w:val="20"/>
                <w:szCs w:val="20"/>
                <w:lang w:eastAsia="zh-CN"/>
              </w:rPr>
            </w:pPr>
            <w:r>
              <w:rPr>
                <w:rFonts w:hint="eastAsia" w:ascii="宋体" w:hAnsi="宋体" w:eastAsia="宋体" w:cs="宋体"/>
                <w:b/>
                <w:bCs/>
                <w:color w:val="auto"/>
                <w:sz w:val="20"/>
                <w:szCs w:val="20"/>
                <w:lang w:eastAsia="zh-CN"/>
              </w:rPr>
              <w:t>八、其他</w:t>
            </w:r>
          </w:p>
          <w:p w14:paraId="5A30D4AB">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本项目成果及其相关知识产权权利归采购人所有。</w:t>
            </w:r>
          </w:p>
        </w:tc>
      </w:tr>
      <w:tr w14:paraId="0A32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00" w:type="pct"/>
            <w:gridSpan w:val="4"/>
            <w:shd w:val="clear" w:color="auto" w:fill="FFFFFF"/>
            <w:vAlign w:val="center"/>
          </w:tcPr>
          <w:p w14:paraId="49BB74CF">
            <w:pPr>
              <w:spacing w:line="340" w:lineRule="exact"/>
              <w:ind w:left="42" w:leftChars="20" w:right="42" w:rightChars="20"/>
              <w:jc w:val="both"/>
              <w:rPr>
                <w:rFonts w:ascii="宋体" w:hAnsi="宋体" w:eastAsia="宋体" w:cs="宋体"/>
                <w:color w:val="auto"/>
                <w:sz w:val="20"/>
                <w:szCs w:val="20"/>
              </w:rPr>
            </w:pPr>
            <w:r>
              <w:rPr>
                <w:rFonts w:hint="eastAsia" w:ascii="宋体" w:hAnsi="宋体" w:eastAsia="宋体" w:cs="宋体"/>
                <w:color w:val="auto"/>
                <w:sz w:val="20"/>
                <w:szCs w:val="20"/>
              </w:rPr>
              <w:t>二、商务要求表</w:t>
            </w:r>
          </w:p>
        </w:tc>
      </w:tr>
      <w:tr w14:paraId="2BE29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12" w:type="pct"/>
            <w:gridSpan w:val="2"/>
            <w:shd w:val="clear" w:color="auto" w:fill="FFFFFF"/>
            <w:vAlign w:val="center"/>
          </w:tcPr>
          <w:p w14:paraId="40015F5D">
            <w:pPr>
              <w:spacing w:line="340" w:lineRule="exact"/>
              <w:ind w:left="42" w:leftChars="20" w:right="42" w:rightChars="20"/>
              <w:jc w:val="both"/>
              <w:rPr>
                <w:rFonts w:ascii="宋体" w:hAnsi="宋体" w:eastAsia="宋体" w:cs="宋体"/>
                <w:color w:val="auto"/>
                <w:sz w:val="20"/>
                <w:szCs w:val="20"/>
              </w:rPr>
            </w:pPr>
            <w:r>
              <w:rPr>
                <w:rFonts w:hint="eastAsia" w:ascii="宋体" w:hAnsi="宋体" w:eastAsia="宋体" w:cs="宋体"/>
                <w:color w:val="auto"/>
                <w:sz w:val="20"/>
                <w:szCs w:val="20"/>
              </w:rPr>
              <w:t>▲合同签订期</w:t>
            </w:r>
          </w:p>
        </w:tc>
        <w:tc>
          <w:tcPr>
            <w:tcW w:w="4087" w:type="pct"/>
            <w:gridSpan w:val="2"/>
            <w:shd w:val="clear" w:color="auto" w:fill="FFFFFF"/>
            <w:vAlign w:val="center"/>
          </w:tcPr>
          <w:p w14:paraId="3A6EE32D">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自成交通知书发出之日起7个工作日内。</w:t>
            </w:r>
          </w:p>
        </w:tc>
      </w:tr>
      <w:tr w14:paraId="2339C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12" w:type="pct"/>
            <w:gridSpan w:val="2"/>
            <w:shd w:val="clear" w:color="auto" w:fill="FFFFFF"/>
            <w:vAlign w:val="center"/>
          </w:tcPr>
          <w:p w14:paraId="0D346E9B">
            <w:pPr>
              <w:spacing w:line="340" w:lineRule="exact"/>
              <w:ind w:left="42" w:leftChars="20" w:right="42" w:rightChars="2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▲提交服务成果时间及交付地点</w:t>
            </w:r>
          </w:p>
        </w:tc>
        <w:tc>
          <w:tcPr>
            <w:tcW w:w="4087" w:type="pct"/>
            <w:gridSpan w:val="2"/>
            <w:shd w:val="clear" w:color="auto" w:fill="FFFFFF"/>
            <w:vAlign w:val="center"/>
          </w:tcPr>
          <w:p w14:paraId="4D0C35F1">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1.咨询设计服务：签订合同后</w:t>
            </w:r>
            <w:r>
              <w:rPr>
                <w:rFonts w:hint="eastAsia" w:ascii="宋体" w:hAnsi="宋体" w:eastAsia="宋体" w:cs="宋体"/>
                <w:b/>
                <w:bCs/>
                <w:color w:val="0000FF"/>
                <w:sz w:val="20"/>
                <w:szCs w:val="20"/>
                <w:lang w:val="en-US" w:eastAsia="zh-CN"/>
              </w:rPr>
              <w:t>1</w:t>
            </w:r>
            <w:r>
              <w:rPr>
                <w:rFonts w:hint="eastAsia" w:ascii="宋体" w:hAnsi="宋体" w:eastAsia="宋体" w:cs="宋体"/>
                <w:color w:val="auto"/>
                <w:sz w:val="20"/>
                <w:szCs w:val="20"/>
                <w:lang w:eastAsia="zh-CN"/>
              </w:rPr>
              <w:t>个月内。</w:t>
            </w:r>
          </w:p>
          <w:p w14:paraId="30679F0E">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2.提交服务成果地点：具体由采购单位指定。</w:t>
            </w:r>
          </w:p>
        </w:tc>
      </w:tr>
      <w:tr w14:paraId="79953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12" w:type="pct"/>
            <w:gridSpan w:val="2"/>
            <w:shd w:val="clear" w:color="auto" w:fill="FFFFFF"/>
            <w:vAlign w:val="center"/>
          </w:tcPr>
          <w:p w14:paraId="36F813B5">
            <w:pPr>
              <w:spacing w:line="340" w:lineRule="exact"/>
              <w:ind w:left="42" w:leftChars="20" w:right="42" w:rightChars="20"/>
              <w:jc w:val="both"/>
              <w:rPr>
                <w:rFonts w:ascii="宋体" w:hAnsi="宋体" w:eastAsia="宋体" w:cs="宋体"/>
                <w:color w:val="auto"/>
                <w:sz w:val="20"/>
                <w:szCs w:val="20"/>
              </w:rPr>
            </w:pPr>
            <w:r>
              <w:rPr>
                <w:rFonts w:hint="eastAsia" w:ascii="宋体" w:hAnsi="宋体" w:eastAsia="宋体" w:cs="宋体"/>
                <w:color w:val="auto"/>
                <w:sz w:val="20"/>
                <w:szCs w:val="20"/>
              </w:rPr>
              <w:t>▲售后服务要求</w:t>
            </w:r>
          </w:p>
        </w:tc>
        <w:tc>
          <w:tcPr>
            <w:tcW w:w="4087" w:type="pct"/>
            <w:gridSpan w:val="2"/>
            <w:shd w:val="clear" w:color="auto" w:fill="FFFFFF"/>
            <w:vAlign w:val="center"/>
          </w:tcPr>
          <w:p w14:paraId="4CCE3F1F">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1.质量保证期至百色中医医院电子病历升级改造项目终验结束。</w:t>
            </w:r>
          </w:p>
          <w:p w14:paraId="29CFD9CC">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2.处理问题响应时间：7×24小时电话服务，面对采购人提出的问题，成交人对采购项目要求理解从项目组织保障计划、实施进度计划、实施服务保障措施、质量保障措施、项目管理体系、服务成果验收、项目培训、售后服务等各方面提供的服务方案及措施进行综合评价。</w:t>
            </w:r>
          </w:p>
          <w:p w14:paraId="76A5F677">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3.其他：根据评审会、工</w:t>
            </w:r>
            <w:bookmarkStart w:id="0" w:name="_GoBack"/>
            <w:bookmarkEnd w:id="0"/>
            <w:r>
              <w:rPr>
                <w:rFonts w:hint="eastAsia" w:ascii="宋体" w:hAnsi="宋体" w:eastAsia="宋体" w:cs="宋体"/>
                <w:color w:val="auto"/>
                <w:sz w:val="20"/>
                <w:szCs w:val="20"/>
                <w:lang w:eastAsia="zh-CN"/>
              </w:rPr>
              <w:t>作对接会、协调会等意见相应修改完善设计内容。</w:t>
            </w:r>
          </w:p>
        </w:tc>
      </w:tr>
      <w:tr w14:paraId="038A1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12" w:type="pct"/>
            <w:gridSpan w:val="2"/>
            <w:shd w:val="clear" w:color="auto" w:fill="FFFFFF"/>
            <w:vAlign w:val="center"/>
          </w:tcPr>
          <w:p w14:paraId="551AF53E">
            <w:pPr>
              <w:spacing w:line="340" w:lineRule="exact"/>
              <w:ind w:left="42" w:leftChars="20" w:right="42" w:rightChars="20"/>
              <w:jc w:val="both"/>
              <w:rPr>
                <w:rFonts w:ascii="宋体" w:hAnsi="宋体" w:eastAsia="宋体" w:cs="宋体"/>
                <w:color w:val="auto"/>
                <w:sz w:val="20"/>
                <w:szCs w:val="20"/>
              </w:rPr>
            </w:pPr>
            <w:r>
              <w:rPr>
                <w:rFonts w:hint="eastAsia" w:ascii="宋体" w:hAnsi="宋体" w:eastAsia="宋体" w:cs="宋体"/>
                <w:color w:val="auto"/>
                <w:sz w:val="20"/>
                <w:szCs w:val="20"/>
              </w:rPr>
              <w:t>▲报价要求</w:t>
            </w:r>
          </w:p>
        </w:tc>
        <w:tc>
          <w:tcPr>
            <w:tcW w:w="4087" w:type="pct"/>
            <w:gridSpan w:val="2"/>
            <w:shd w:val="clear" w:color="auto" w:fill="FFFFFF"/>
            <w:vAlign w:val="center"/>
          </w:tcPr>
          <w:p w14:paraId="6C53B3DE">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1.报价必须含以下部分，包括：</w:t>
            </w:r>
          </w:p>
          <w:p w14:paraId="600DCEBE">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(1)材料费：包含汇报材料及成果打印费用。</w:t>
            </w:r>
          </w:p>
          <w:p w14:paraId="32D786AF">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(2)有必要的保险费用和各项税金。</w:t>
            </w:r>
          </w:p>
          <w:p w14:paraId="2CE27B7B">
            <w:pPr>
              <w:spacing w:line="340" w:lineRule="exact"/>
              <w:ind w:left="42" w:leftChars="20" w:right="42" w:rightChars="20" w:firstLine="400" w:firstLineChars="200"/>
              <w:jc w:val="both"/>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2.本项目磋商报价包含完成本项目服务内容所需的费用。如提供服务过程中产生额外费用，由成交供应商自行负责。</w:t>
            </w:r>
          </w:p>
        </w:tc>
      </w:tr>
      <w:tr w14:paraId="5C85F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12" w:type="pct"/>
            <w:gridSpan w:val="2"/>
            <w:shd w:val="clear" w:color="auto" w:fill="FFFFFF"/>
            <w:vAlign w:val="center"/>
          </w:tcPr>
          <w:p w14:paraId="32C19625">
            <w:pPr>
              <w:spacing w:line="340" w:lineRule="exact"/>
              <w:ind w:left="42" w:leftChars="20" w:right="42" w:rightChars="20"/>
              <w:jc w:val="both"/>
              <w:rPr>
                <w:rFonts w:ascii="宋体" w:hAnsi="宋体" w:eastAsia="宋体" w:cs="宋体"/>
                <w:color w:val="auto"/>
                <w:sz w:val="20"/>
                <w:szCs w:val="20"/>
              </w:rPr>
            </w:pPr>
            <w:r>
              <w:rPr>
                <w:rFonts w:hint="eastAsia" w:ascii="宋体" w:hAnsi="宋体" w:eastAsia="宋体" w:cs="宋体"/>
                <w:color w:val="auto"/>
                <w:sz w:val="20"/>
                <w:szCs w:val="20"/>
              </w:rPr>
              <w:t>▲其他要求</w:t>
            </w:r>
          </w:p>
        </w:tc>
        <w:tc>
          <w:tcPr>
            <w:tcW w:w="4087" w:type="pct"/>
            <w:gridSpan w:val="2"/>
            <w:shd w:val="clear" w:color="auto" w:fill="FFFFFF"/>
            <w:vAlign w:val="center"/>
          </w:tcPr>
          <w:p w14:paraId="42C8EE02">
            <w:pPr>
              <w:widowControl w:val="0"/>
              <w:kinsoku/>
              <w:autoSpaceDE/>
              <w:autoSpaceDN/>
              <w:snapToGrid/>
              <w:spacing w:line="400" w:lineRule="exact"/>
              <w:ind w:firstLine="400" w:firstLineChars="200"/>
              <w:jc w:val="both"/>
              <w:textAlignment w:val="auto"/>
              <w:rPr>
                <w:rFonts w:ascii="宋体" w:hAnsi="宋体" w:eastAsia="宋体" w:cs="宋体"/>
                <w:snapToGrid/>
                <w:color w:val="auto"/>
                <w:kern w:val="2"/>
                <w:sz w:val="20"/>
                <w:szCs w:val="20"/>
                <w:lang w:eastAsia="zh-CN"/>
              </w:rPr>
            </w:pPr>
            <w:r>
              <w:rPr>
                <w:rFonts w:hint="eastAsia" w:ascii="宋体" w:hAnsi="宋体" w:eastAsia="宋体" w:cs="宋体"/>
                <w:snapToGrid/>
                <w:color w:val="auto"/>
                <w:kern w:val="2"/>
                <w:sz w:val="20"/>
                <w:szCs w:val="20"/>
                <w:lang w:eastAsia="zh-CN"/>
              </w:rPr>
              <w:t>1.成交供应商必须配合采购人向评审机构和审批部门等相关部门进行项目申报、评审等相关工作。</w:t>
            </w:r>
          </w:p>
          <w:p w14:paraId="2636157C">
            <w:pPr>
              <w:widowControl w:val="0"/>
              <w:kinsoku/>
              <w:autoSpaceDE/>
              <w:autoSpaceDN/>
              <w:snapToGrid/>
              <w:spacing w:line="400" w:lineRule="exact"/>
              <w:ind w:firstLine="400" w:firstLineChars="200"/>
              <w:jc w:val="both"/>
              <w:textAlignment w:val="auto"/>
              <w:rPr>
                <w:rFonts w:ascii="宋体" w:hAnsi="宋体" w:eastAsia="宋体" w:cs="宋体"/>
                <w:snapToGrid/>
                <w:color w:val="auto"/>
                <w:kern w:val="2"/>
                <w:sz w:val="20"/>
                <w:szCs w:val="20"/>
                <w:lang w:eastAsia="zh-CN"/>
              </w:rPr>
            </w:pPr>
            <w:r>
              <w:rPr>
                <w:rFonts w:hint="eastAsia" w:ascii="宋体" w:hAnsi="宋体" w:eastAsia="宋体" w:cs="宋体"/>
                <w:snapToGrid/>
                <w:color w:val="auto"/>
                <w:kern w:val="2"/>
                <w:sz w:val="20"/>
                <w:szCs w:val="20"/>
                <w:lang w:eastAsia="zh-CN"/>
              </w:rPr>
              <w:t>2.成交供应商不得以任何形式向与本项目无关的其他单位或人员提供项目相关文件及所附的有关资料，如违反，必须赔偿采购人的所有损失，且采购人保留追究法律责任的权力。</w:t>
            </w:r>
          </w:p>
          <w:p w14:paraId="131E829F">
            <w:pPr>
              <w:widowControl w:val="0"/>
              <w:kinsoku/>
              <w:autoSpaceDE/>
              <w:autoSpaceDN/>
              <w:snapToGrid/>
              <w:spacing w:line="400" w:lineRule="exact"/>
              <w:ind w:firstLine="400" w:firstLineChars="200"/>
              <w:jc w:val="both"/>
              <w:textAlignment w:val="auto"/>
              <w:rPr>
                <w:rFonts w:ascii="宋体" w:hAnsi="宋体" w:eastAsia="宋体" w:cs="宋体"/>
                <w:snapToGrid/>
                <w:color w:val="auto"/>
                <w:kern w:val="2"/>
                <w:sz w:val="20"/>
                <w:szCs w:val="20"/>
                <w:lang w:eastAsia="zh-CN"/>
              </w:rPr>
            </w:pPr>
            <w:r>
              <w:rPr>
                <w:rFonts w:hint="eastAsia" w:ascii="宋体" w:hAnsi="宋体" w:eastAsia="宋体" w:cs="宋体"/>
                <w:snapToGrid/>
                <w:color w:val="auto"/>
                <w:kern w:val="2"/>
                <w:sz w:val="20"/>
                <w:szCs w:val="20"/>
                <w:lang w:eastAsia="zh-CN"/>
              </w:rPr>
              <w:t>3.成交供应商不得承担本项目工程建设的系统集成及相关实施工作。</w:t>
            </w:r>
          </w:p>
          <w:p w14:paraId="2B1769DE">
            <w:pPr>
              <w:spacing w:line="340" w:lineRule="exact"/>
              <w:ind w:right="42" w:rightChars="20" w:firstLine="400" w:firstLineChars="200"/>
              <w:jc w:val="both"/>
              <w:rPr>
                <w:rFonts w:ascii="宋体" w:hAnsi="宋体" w:eastAsia="宋体" w:cs="宋体"/>
                <w:color w:val="auto"/>
                <w:sz w:val="20"/>
                <w:szCs w:val="20"/>
                <w:lang w:eastAsia="zh-CN"/>
              </w:rPr>
            </w:pPr>
            <w:r>
              <w:rPr>
                <w:rFonts w:hint="eastAsia" w:ascii="宋体" w:hAnsi="宋体" w:cs="宋体" w:eastAsiaTheme="minorEastAsia"/>
                <w:snapToGrid/>
                <w:color w:val="auto"/>
                <w:kern w:val="2"/>
                <w:sz w:val="20"/>
                <w:szCs w:val="20"/>
                <w:lang w:eastAsia="zh-CN"/>
              </w:rPr>
              <w:t>4</w:t>
            </w:r>
            <w:r>
              <w:rPr>
                <w:rFonts w:hint="eastAsia" w:ascii="宋体" w:hAnsi="宋体" w:eastAsia="Times New Roman" w:cs="宋体"/>
                <w:snapToGrid/>
                <w:color w:val="auto"/>
                <w:kern w:val="2"/>
                <w:sz w:val="20"/>
                <w:szCs w:val="20"/>
                <w:lang w:eastAsia="zh-CN"/>
              </w:rPr>
              <w:t>.本项目成果及其相关知识产权权利归采购人所有。</w:t>
            </w:r>
          </w:p>
        </w:tc>
      </w:tr>
    </w:tbl>
    <w:p w14:paraId="56B47B69">
      <w:pPr>
        <w:pStyle w:val="7"/>
        <w:spacing w:line="400" w:lineRule="exact"/>
        <w:jc w:val="left"/>
        <w:rPr>
          <w:rFonts w:hAnsi="宋体" w:cs="宋体"/>
          <w:sz w:val="20"/>
        </w:rPr>
      </w:pPr>
    </w:p>
    <w:p w14:paraId="042A702A">
      <w:pPr>
        <w:pStyle w:val="7"/>
        <w:spacing w:line="400" w:lineRule="exact"/>
        <w:jc w:val="left"/>
        <w:rPr>
          <w:rFonts w:hAnsi="宋体" w:cs="宋体"/>
          <w:sz w:val="2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4066125"/>
    </w:sdtPr>
    <w:sdtContent>
      <w:p w14:paraId="04858977">
        <w:pPr>
          <w:pStyle w:val="9"/>
          <w:jc w:val="center"/>
        </w:pPr>
        <w:r>
          <w:fldChar w:fldCharType="begin"/>
        </w:r>
        <w:r>
          <w:instrText xml:space="preserve">PAGE   \* MERGEFORMAT</w:instrText>
        </w:r>
        <w:r>
          <w:fldChar w:fldCharType="separate"/>
        </w:r>
        <w:r>
          <w:rPr>
            <w:lang w:val="zh-CN" w:eastAsia="zh-CN"/>
          </w:rPr>
          <w:t>9</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8EF058"/>
    <w:multiLevelType w:val="singleLevel"/>
    <w:tmpl w:val="FC8EF058"/>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mNzk0MjBlNzlkMzlkYmM5MmUzMTkyNmIzNDMxNjkifQ=="/>
  </w:docVars>
  <w:rsids>
    <w:rsidRoot w:val="45185004"/>
    <w:rsid w:val="00015B73"/>
    <w:rsid w:val="00016691"/>
    <w:rsid w:val="00025E81"/>
    <w:rsid w:val="00026733"/>
    <w:rsid w:val="0004063F"/>
    <w:rsid w:val="000810EF"/>
    <w:rsid w:val="0008603C"/>
    <w:rsid w:val="000A2033"/>
    <w:rsid w:val="000C43E5"/>
    <w:rsid w:val="00137D4B"/>
    <w:rsid w:val="001563B6"/>
    <w:rsid w:val="001C6738"/>
    <w:rsid w:val="00216DE5"/>
    <w:rsid w:val="0022048C"/>
    <w:rsid w:val="00224530"/>
    <w:rsid w:val="00235117"/>
    <w:rsid w:val="00255176"/>
    <w:rsid w:val="00275DD7"/>
    <w:rsid w:val="002A6967"/>
    <w:rsid w:val="002B0423"/>
    <w:rsid w:val="002C3CFF"/>
    <w:rsid w:val="002C6645"/>
    <w:rsid w:val="003121C4"/>
    <w:rsid w:val="00376390"/>
    <w:rsid w:val="003971A7"/>
    <w:rsid w:val="003A61DC"/>
    <w:rsid w:val="003E4E78"/>
    <w:rsid w:val="00431DBE"/>
    <w:rsid w:val="00433F64"/>
    <w:rsid w:val="00472489"/>
    <w:rsid w:val="004948FF"/>
    <w:rsid w:val="00497108"/>
    <w:rsid w:val="00497CC5"/>
    <w:rsid w:val="004B00F4"/>
    <w:rsid w:val="004B10B5"/>
    <w:rsid w:val="004E7A10"/>
    <w:rsid w:val="00594AC2"/>
    <w:rsid w:val="005B689E"/>
    <w:rsid w:val="005D60FE"/>
    <w:rsid w:val="00605775"/>
    <w:rsid w:val="00630CC4"/>
    <w:rsid w:val="00664D08"/>
    <w:rsid w:val="00693EE8"/>
    <w:rsid w:val="006A0C1D"/>
    <w:rsid w:val="007656A8"/>
    <w:rsid w:val="007662F3"/>
    <w:rsid w:val="007C6FE0"/>
    <w:rsid w:val="007D19AD"/>
    <w:rsid w:val="008636FE"/>
    <w:rsid w:val="00865199"/>
    <w:rsid w:val="00866044"/>
    <w:rsid w:val="008747C7"/>
    <w:rsid w:val="008868FE"/>
    <w:rsid w:val="00892B59"/>
    <w:rsid w:val="009335C2"/>
    <w:rsid w:val="0096771D"/>
    <w:rsid w:val="00974EC0"/>
    <w:rsid w:val="009A60B9"/>
    <w:rsid w:val="00A0475C"/>
    <w:rsid w:val="00A27B5B"/>
    <w:rsid w:val="00A5014A"/>
    <w:rsid w:val="00A51D38"/>
    <w:rsid w:val="00A70990"/>
    <w:rsid w:val="00A75E70"/>
    <w:rsid w:val="00AA3B72"/>
    <w:rsid w:val="00AA7D53"/>
    <w:rsid w:val="00B5274A"/>
    <w:rsid w:val="00BA5518"/>
    <w:rsid w:val="00BD0187"/>
    <w:rsid w:val="00C05CF0"/>
    <w:rsid w:val="00C72CC5"/>
    <w:rsid w:val="00C93FF9"/>
    <w:rsid w:val="00D225C6"/>
    <w:rsid w:val="00D61804"/>
    <w:rsid w:val="00D80CF6"/>
    <w:rsid w:val="00D97876"/>
    <w:rsid w:val="00DD4E3D"/>
    <w:rsid w:val="00DF4BAB"/>
    <w:rsid w:val="00DF760B"/>
    <w:rsid w:val="00E2425E"/>
    <w:rsid w:val="00E26476"/>
    <w:rsid w:val="00E33C24"/>
    <w:rsid w:val="00E71D69"/>
    <w:rsid w:val="00E74AFF"/>
    <w:rsid w:val="00E76BDD"/>
    <w:rsid w:val="00EF28B5"/>
    <w:rsid w:val="00EF6877"/>
    <w:rsid w:val="00F553BA"/>
    <w:rsid w:val="00F911D2"/>
    <w:rsid w:val="00F96209"/>
    <w:rsid w:val="00FA5524"/>
    <w:rsid w:val="00FB3C98"/>
    <w:rsid w:val="00FB466E"/>
    <w:rsid w:val="00FD2E78"/>
    <w:rsid w:val="00FE298C"/>
    <w:rsid w:val="00FF7F00"/>
    <w:rsid w:val="02282594"/>
    <w:rsid w:val="04573A23"/>
    <w:rsid w:val="06547E9A"/>
    <w:rsid w:val="0659342B"/>
    <w:rsid w:val="06B12229"/>
    <w:rsid w:val="07C83EE8"/>
    <w:rsid w:val="0A5B7348"/>
    <w:rsid w:val="0BFE6C9A"/>
    <w:rsid w:val="0C124EEE"/>
    <w:rsid w:val="0CEB2AB3"/>
    <w:rsid w:val="0CFC5AC5"/>
    <w:rsid w:val="0D5450AE"/>
    <w:rsid w:val="0EB81736"/>
    <w:rsid w:val="10CA794F"/>
    <w:rsid w:val="11641104"/>
    <w:rsid w:val="13426A3F"/>
    <w:rsid w:val="13D352F6"/>
    <w:rsid w:val="13FC4407"/>
    <w:rsid w:val="14EC25CE"/>
    <w:rsid w:val="17816D45"/>
    <w:rsid w:val="19570331"/>
    <w:rsid w:val="1C661E6D"/>
    <w:rsid w:val="1E592455"/>
    <w:rsid w:val="1FA83694"/>
    <w:rsid w:val="22D56927"/>
    <w:rsid w:val="22EA7F17"/>
    <w:rsid w:val="23517F8D"/>
    <w:rsid w:val="237B4D9A"/>
    <w:rsid w:val="241733C3"/>
    <w:rsid w:val="248C5128"/>
    <w:rsid w:val="2933596C"/>
    <w:rsid w:val="2A9509ED"/>
    <w:rsid w:val="2CBC6D61"/>
    <w:rsid w:val="2E4E09C5"/>
    <w:rsid w:val="2F24131E"/>
    <w:rsid w:val="2FA67BA6"/>
    <w:rsid w:val="2FD86E9B"/>
    <w:rsid w:val="312D5E84"/>
    <w:rsid w:val="31E3544E"/>
    <w:rsid w:val="34EA6AF7"/>
    <w:rsid w:val="34F23B6A"/>
    <w:rsid w:val="36291A29"/>
    <w:rsid w:val="367C5E20"/>
    <w:rsid w:val="37DF333A"/>
    <w:rsid w:val="3CA44E56"/>
    <w:rsid w:val="3F8847ED"/>
    <w:rsid w:val="40C66554"/>
    <w:rsid w:val="41097C06"/>
    <w:rsid w:val="45185004"/>
    <w:rsid w:val="45435F4B"/>
    <w:rsid w:val="478A108C"/>
    <w:rsid w:val="479E5918"/>
    <w:rsid w:val="492E2C8A"/>
    <w:rsid w:val="4B5067E0"/>
    <w:rsid w:val="4D3C7046"/>
    <w:rsid w:val="4E28270B"/>
    <w:rsid w:val="4F841C78"/>
    <w:rsid w:val="512D0E11"/>
    <w:rsid w:val="51E3145C"/>
    <w:rsid w:val="528D1E9B"/>
    <w:rsid w:val="54014B46"/>
    <w:rsid w:val="548D56CC"/>
    <w:rsid w:val="565A08F3"/>
    <w:rsid w:val="578E522C"/>
    <w:rsid w:val="59B923C1"/>
    <w:rsid w:val="5AB45F1E"/>
    <w:rsid w:val="5C6739B4"/>
    <w:rsid w:val="5D9C6F8D"/>
    <w:rsid w:val="5E32585B"/>
    <w:rsid w:val="5EB10C74"/>
    <w:rsid w:val="5F823EB1"/>
    <w:rsid w:val="61C54B0A"/>
    <w:rsid w:val="652D069A"/>
    <w:rsid w:val="664B017C"/>
    <w:rsid w:val="679118FF"/>
    <w:rsid w:val="689620E6"/>
    <w:rsid w:val="69BC701F"/>
    <w:rsid w:val="69C55BBB"/>
    <w:rsid w:val="6BF37943"/>
    <w:rsid w:val="6D9E3BBD"/>
    <w:rsid w:val="6FFB3A44"/>
    <w:rsid w:val="710501DE"/>
    <w:rsid w:val="711C4915"/>
    <w:rsid w:val="723B6D6B"/>
    <w:rsid w:val="72AE2CD6"/>
    <w:rsid w:val="78ED710E"/>
    <w:rsid w:val="793F461D"/>
    <w:rsid w:val="7A18766A"/>
    <w:rsid w:val="7AA42A56"/>
    <w:rsid w:val="7C135406"/>
    <w:rsid w:val="7DFD342A"/>
    <w:rsid w:val="7E3242B8"/>
    <w:rsid w:val="7FD87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qFormat/>
    <w:uiPriority w:val="0"/>
  </w:style>
  <w:style w:type="paragraph" w:styleId="5">
    <w:name w:val="Body Text"/>
    <w:basedOn w:val="1"/>
    <w:semiHidden/>
    <w:qFormat/>
    <w:uiPriority w:val="0"/>
    <w:rPr>
      <w:rFonts w:ascii="宋体" w:hAnsi="宋体" w:eastAsia="宋体" w:cs="宋体"/>
      <w:sz w:val="35"/>
      <w:szCs w:val="35"/>
    </w:rPr>
  </w:style>
  <w:style w:type="paragraph" w:styleId="6">
    <w:name w:val="Body Text Indent"/>
    <w:basedOn w:val="1"/>
    <w:link w:val="21"/>
    <w:qFormat/>
    <w:uiPriority w:val="0"/>
    <w:pPr>
      <w:spacing w:after="120"/>
      <w:ind w:left="420" w:leftChars="200"/>
    </w:pPr>
  </w:style>
  <w:style w:type="paragraph" w:styleId="7">
    <w:name w:val="Plain Text"/>
    <w:basedOn w:val="1"/>
    <w:link w:val="22"/>
    <w:qFormat/>
    <w:uiPriority w:val="0"/>
    <w:pPr>
      <w:widowControl w:val="0"/>
      <w:kinsoku/>
      <w:autoSpaceDE/>
      <w:autoSpaceDN/>
      <w:adjustRightInd/>
      <w:snapToGrid/>
      <w:jc w:val="both"/>
      <w:textAlignment w:val="auto"/>
    </w:pPr>
    <w:rPr>
      <w:rFonts w:ascii="宋体" w:hAnsi="Courier New" w:eastAsia="宋体" w:cs="Times New Roman"/>
      <w:snapToGrid/>
      <w:color w:val="auto"/>
      <w:kern w:val="2"/>
      <w:szCs w:val="20"/>
      <w:lang w:eastAsia="zh-CN"/>
    </w:rPr>
  </w:style>
  <w:style w:type="paragraph" w:styleId="8">
    <w:name w:val="Balloon Text"/>
    <w:basedOn w:val="1"/>
    <w:link w:val="26"/>
    <w:qFormat/>
    <w:uiPriority w:val="0"/>
    <w:rPr>
      <w:sz w:val="18"/>
      <w:szCs w:val="18"/>
    </w:rPr>
  </w:style>
  <w:style w:type="paragraph" w:styleId="9">
    <w:name w:val="footer"/>
    <w:basedOn w:val="1"/>
    <w:link w:val="20"/>
    <w:qFormat/>
    <w:uiPriority w:val="99"/>
    <w:pPr>
      <w:tabs>
        <w:tab w:val="center" w:pos="4153"/>
        <w:tab w:val="right" w:pos="8306"/>
      </w:tabs>
    </w:pPr>
    <w:rPr>
      <w:sz w:val="18"/>
      <w:szCs w:val="18"/>
    </w:rPr>
  </w:style>
  <w:style w:type="paragraph" w:styleId="10">
    <w:name w:val="header"/>
    <w:basedOn w:val="1"/>
    <w:link w:val="19"/>
    <w:qFormat/>
    <w:uiPriority w:val="0"/>
    <w:pPr>
      <w:tabs>
        <w:tab w:val="center" w:pos="4153"/>
        <w:tab w:val="right" w:pos="8306"/>
      </w:tabs>
      <w:jc w:val="center"/>
    </w:pPr>
    <w:rPr>
      <w:sz w:val="18"/>
      <w:szCs w:val="18"/>
    </w:rPr>
  </w:style>
  <w:style w:type="paragraph" w:styleId="11">
    <w:name w:val="annotation subject"/>
    <w:basedOn w:val="4"/>
    <w:next w:val="4"/>
    <w:link w:val="24"/>
    <w:qFormat/>
    <w:uiPriority w:val="0"/>
    <w:rPr>
      <w:b/>
      <w:bCs/>
    </w:rPr>
  </w:style>
  <w:style w:type="character" w:styleId="14">
    <w:name w:val="annotation reference"/>
    <w:basedOn w:val="13"/>
    <w:qFormat/>
    <w:uiPriority w:val="0"/>
    <w:rPr>
      <w:sz w:val="21"/>
      <w:szCs w:val="21"/>
    </w:rPr>
  </w:style>
  <w:style w:type="character" w:customStyle="1" w:styleId="15">
    <w:name w:val="标题 2 Char"/>
    <w:basedOn w:val="13"/>
    <w:link w:val="3"/>
    <w:qFormat/>
    <w:uiPriority w:val="0"/>
    <w:rPr>
      <w:rFonts w:asciiTheme="majorHAnsi" w:hAnsiTheme="majorHAnsi" w:eastAsiaTheme="majorEastAsia" w:cstheme="majorBidi"/>
      <w:b/>
      <w:bCs/>
      <w:snapToGrid w:val="0"/>
      <w:color w:val="000000"/>
      <w:sz w:val="32"/>
      <w:szCs w:val="32"/>
      <w:lang w:eastAsia="en-US"/>
    </w:rPr>
  </w:style>
  <w:style w:type="paragraph" w:customStyle="1" w:styleId="16">
    <w:name w:val="Table Text"/>
    <w:basedOn w:val="1"/>
    <w:semiHidden/>
    <w:qFormat/>
    <w:uiPriority w:val="0"/>
    <w:rPr>
      <w:rFonts w:ascii="宋体" w:hAnsi="宋体" w:eastAsia="宋体" w:cs="宋体"/>
      <w:sz w:val="24"/>
      <w:szCs w:val="24"/>
    </w:rPr>
  </w:style>
  <w:style w:type="table" w:customStyle="1" w:styleId="17">
    <w:name w:val="Table Normal"/>
    <w:semiHidden/>
    <w:unhideWhenUsed/>
    <w:qFormat/>
    <w:uiPriority w:val="0"/>
    <w:tblPr>
      <w:tblCellMar>
        <w:top w:w="0" w:type="dxa"/>
        <w:left w:w="0" w:type="dxa"/>
        <w:bottom w:w="0" w:type="dxa"/>
        <w:right w:w="0" w:type="dxa"/>
      </w:tblCellMar>
    </w:tblPr>
  </w:style>
  <w:style w:type="character" w:customStyle="1" w:styleId="18">
    <w:name w:val="NormalCharacter"/>
    <w:basedOn w:val="13"/>
    <w:qFormat/>
    <w:uiPriority w:val="0"/>
    <w:rPr>
      <w:rFonts w:ascii="Times New Roman" w:hAnsi="Times New Roman" w:eastAsia="宋体" w:cs="Times New Roman"/>
    </w:rPr>
  </w:style>
  <w:style w:type="character" w:customStyle="1" w:styleId="19">
    <w:name w:val="页眉 Char"/>
    <w:basedOn w:val="13"/>
    <w:link w:val="10"/>
    <w:qFormat/>
    <w:uiPriority w:val="0"/>
    <w:rPr>
      <w:rFonts w:ascii="Arial" w:hAnsi="Arial" w:eastAsia="Arial" w:cs="Arial"/>
      <w:snapToGrid w:val="0"/>
      <w:color w:val="000000"/>
      <w:sz w:val="18"/>
      <w:szCs w:val="18"/>
      <w:lang w:eastAsia="en-US"/>
    </w:rPr>
  </w:style>
  <w:style w:type="character" w:customStyle="1" w:styleId="20">
    <w:name w:val="页脚 Char"/>
    <w:basedOn w:val="13"/>
    <w:link w:val="9"/>
    <w:qFormat/>
    <w:uiPriority w:val="99"/>
    <w:rPr>
      <w:rFonts w:ascii="Arial" w:hAnsi="Arial" w:eastAsia="Arial" w:cs="Arial"/>
      <w:snapToGrid w:val="0"/>
      <w:color w:val="000000"/>
      <w:sz w:val="18"/>
      <w:szCs w:val="18"/>
      <w:lang w:eastAsia="en-US"/>
    </w:rPr>
  </w:style>
  <w:style w:type="character" w:customStyle="1" w:styleId="21">
    <w:name w:val="正文文本缩进 Char"/>
    <w:basedOn w:val="13"/>
    <w:link w:val="6"/>
    <w:qFormat/>
    <w:uiPriority w:val="0"/>
    <w:rPr>
      <w:rFonts w:ascii="Arial" w:hAnsi="Arial" w:eastAsia="Arial" w:cs="Arial"/>
      <w:snapToGrid w:val="0"/>
      <w:color w:val="000000"/>
      <w:sz w:val="21"/>
      <w:szCs w:val="21"/>
      <w:lang w:eastAsia="en-US"/>
    </w:rPr>
  </w:style>
  <w:style w:type="character" w:customStyle="1" w:styleId="22">
    <w:name w:val="纯文本 Char"/>
    <w:basedOn w:val="13"/>
    <w:link w:val="7"/>
    <w:qFormat/>
    <w:uiPriority w:val="0"/>
    <w:rPr>
      <w:rFonts w:ascii="宋体" w:hAnsi="Courier New" w:eastAsia="宋体" w:cs="Times New Roman"/>
      <w:kern w:val="2"/>
      <w:sz w:val="21"/>
    </w:rPr>
  </w:style>
  <w:style w:type="character" w:customStyle="1" w:styleId="23">
    <w:name w:val="批注文字 Char"/>
    <w:basedOn w:val="13"/>
    <w:link w:val="4"/>
    <w:qFormat/>
    <w:uiPriority w:val="0"/>
    <w:rPr>
      <w:rFonts w:ascii="Arial" w:hAnsi="Arial" w:eastAsia="Arial" w:cs="Arial"/>
      <w:snapToGrid w:val="0"/>
      <w:color w:val="000000"/>
      <w:sz w:val="21"/>
      <w:szCs w:val="21"/>
      <w:lang w:eastAsia="en-US"/>
    </w:rPr>
  </w:style>
  <w:style w:type="character" w:customStyle="1" w:styleId="24">
    <w:name w:val="批注主题 Char"/>
    <w:basedOn w:val="23"/>
    <w:link w:val="11"/>
    <w:qFormat/>
    <w:uiPriority w:val="0"/>
    <w:rPr>
      <w:rFonts w:ascii="Arial" w:hAnsi="Arial" w:eastAsia="Arial" w:cs="Arial"/>
      <w:b/>
      <w:bCs/>
      <w:snapToGrid w:val="0"/>
      <w:color w:val="000000"/>
      <w:sz w:val="21"/>
      <w:szCs w:val="21"/>
      <w:lang w:eastAsia="en-US"/>
    </w:rPr>
  </w:style>
  <w:style w:type="character" w:customStyle="1" w:styleId="25">
    <w:name w:val="标题 1 Char"/>
    <w:basedOn w:val="13"/>
    <w:link w:val="2"/>
    <w:qFormat/>
    <w:uiPriority w:val="0"/>
    <w:rPr>
      <w:rFonts w:ascii="Arial" w:hAnsi="Arial" w:eastAsia="Arial" w:cs="Arial"/>
      <w:b/>
      <w:bCs/>
      <w:snapToGrid w:val="0"/>
      <w:color w:val="000000"/>
      <w:kern w:val="44"/>
      <w:sz w:val="44"/>
      <w:szCs w:val="44"/>
      <w:lang w:eastAsia="en-US"/>
    </w:rPr>
  </w:style>
  <w:style w:type="character" w:customStyle="1" w:styleId="26">
    <w:name w:val="批注框文本 Char"/>
    <w:basedOn w:val="13"/>
    <w:link w:val="8"/>
    <w:qFormat/>
    <w:uiPriority w:val="0"/>
    <w:rPr>
      <w:rFonts w:ascii="Arial" w:hAnsi="Arial" w:eastAsia="Arial" w:cs="Arial"/>
      <w:snapToGrid w:val="0"/>
      <w:color w:val="000000"/>
      <w:sz w:val="18"/>
      <w:szCs w:val="18"/>
      <w:lang w:eastAsia="en-US"/>
    </w:rPr>
  </w:style>
  <w:style w:type="paragraph" w:styleId="27">
    <w:name w:val="List Paragraph"/>
    <w:basedOn w:val="1"/>
    <w:qFormat/>
    <w:uiPriority w:val="34"/>
    <w:pPr>
      <w:widowControl w:val="0"/>
      <w:kinsoku/>
      <w:autoSpaceDE/>
      <w:autoSpaceDN/>
      <w:adjustRightInd/>
      <w:snapToGrid/>
      <w:ind w:firstLine="420" w:firstLineChars="200"/>
      <w:jc w:val="both"/>
      <w:textAlignment w:val="auto"/>
    </w:pPr>
    <w:rPr>
      <w:rFonts w:ascii="Times New Roman" w:hAnsi="Times New Roman" w:eastAsia="宋体" w:cs="Times New Roman"/>
      <w:snapToGrid/>
      <w:color w:val="auto"/>
      <w:kern w:val="2"/>
      <w:szCs w:val="24"/>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7B259-8909-41D6-B68C-CF70AC08D04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7738</Words>
  <Characters>7997</Characters>
  <Lines>227</Lines>
  <Paragraphs>168</Paragraphs>
  <TotalTime>52</TotalTime>
  <ScaleCrop>false</ScaleCrop>
  <LinksUpToDate>false</LinksUpToDate>
  <CharactersWithSpaces>8000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2025-08-21T07:29:00Z</dcterms:created>
  <dc:creator>Sirrah</dc:creator>
  <cp:lastModifiedBy>陈洁</cp:lastModifiedBy>
  <dcterms:modified xsi:type="dcterms:W3CDTF">2025-08-23T13:36:52Z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0AD54DE0329544C98B8688636AA8F91C_13</vt:lpwstr>
  </property>
  <property fmtid="{D5CDD505-2E9C-101B-9397-08002B2CF9AE}" pid="4" name="KSOTemplateDocerSaveRecord">
    <vt:lpwstr>eyJoZGlkIjoiMjQ5MmQ2YTdhNzllZWRhZmI4YWQ1YzhiNGZiODdmMmEiLCJ1c2VySWQiOiIyNDgzODAzODAifQ==</vt:lpwstr>
  </property>
</Properties>
</file>