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6E2C7">
      <w:pPr>
        <w:rPr>
          <w:rFonts w:hint="default" w:eastAsiaTheme="minorEastAsia"/>
          <w:color w:val="000000"/>
          <w:highlight w:val="none"/>
          <w:lang w:val="en-US" w:eastAsia="zh-CN"/>
        </w:rPr>
      </w:pPr>
      <w:r>
        <w:rPr>
          <w:rFonts w:hint="eastAsia"/>
          <w:color w:val="000000"/>
          <w:highlight w:val="none"/>
          <w:lang w:val="en-US" w:eastAsia="zh-CN"/>
        </w:rPr>
        <w:t>附件1：</w:t>
      </w:r>
    </w:p>
    <w:p w14:paraId="455B959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/>
        </w:rPr>
      </w:pPr>
      <w:r>
        <w:rPr>
          <w:rFonts w:hint="eastAsia"/>
          <w:color w:val="000000"/>
          <w:highlight w:val="none"/>
        </w:rPr>
        <w:t>项目</w:t>
      </w:r>
      <w:r>
        <w:rPr>
          <w:rFonts w:hint="eastAsia"/>
          <w:color w:val="000000"/>
          <w:highlight w:val="none"/>
          <w:lang w:val="en-US" w:eastAsia="zh-CN"/>
        </w:rPr>
        <w:t>采购</w:t>
      </w:r>
      <w:r>
        <w:rPr>
          <w:rFonts w:hint="eastAsia"/>
          <w:color w:val="000000"/>
          <w:highlight w:val="none"/>
        </w:rPr>
        <w:t>需求</w:t>
      </w:r>
    </w:p>
    <w:p w14:paraId="2ABE87BE">
      <w:pPr>
        <w:spacing w:line="360" w:lineRule="exact"/>
        <w:jc w:val="left"/>
        <w:rPr>
          <w:rFonts w:hint="eastAsia" w:ascii="宋体" w:hAnsi="宋体"/>
          <w:b/>
          <w:bCs/>
          <w:color w:val="000000"/>
          <w:szCs w:val="21"/>
          <w:highlight w:val="none"/>
          <w:lang w:val="en-US" w:eastAsia="zh-CN"/>
        </w:rPr>
      </w:pPr>
    </w:p>
    <w:p w14:paraId="3539241B">
      <w:pPr>
        <w:spacing w:line="360" w:lineRule="exact"/>
        <w:jc w:val="left"/>
        <w:rPr>
          <w:rFonts w:hint="default" w:ascii="宋体" w:hAnsi="宋体" w:eastAsiaTheme="minorEastAsia"/>
          <w:b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Cs w:val="21"/>
          <w:highlight w:val="none"/>
          <w:lang w:val="en-US" w:eastAsia="zh-CN"/>
        </w:rPr>
        <w:t>项目采购需求条款允许负偏离的项数为0。</w:t>
      </w:r>
    </w:p>
    <w:p w14:paraId="38411A6A">
      <w:pPr>
        <w:numPr>
          <w:ilvl w:val="0"/>
          <w:numId w:val="1"/>
        </w:numPr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项目要求及技术需求</w:t>
      </w:r>
    </w:p>
    <w:tbl>
      <w:tblPr>
        <w:tblStyle w:val="14"/>
        <w:tblW w:w="10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3035"/>
        <w:gridCol w:w="1150"/>
        <w:gridCol w:w="1388"/>
        <w:gridCol w:w="1525"/>
        <w:gridCol w:w="1500"/>
      </w:tblGrid>
      <w:tr w14:paraId="743B8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463" w:type="dxa"/>
            <w:vAlign w:val="center"/>
          </w:tcPr>
          <w:p w14:paraId="1BDF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3035" w:type="dxa"/>
            <w:vAlign w:val="center"/>
          </w:tcPr>
          <w:p w14:paraId="5985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项目内容</w:t>
            </w:r>
          </w:p>
        </w:tc>
        <w:tc>
          <w:tcPr>
            <w:tcW w:w="1150" w:type="dxa"/>
            <w:vAlign w:val="center"/>
          </w:tcPr>
          <w:p w14:paraId="314F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388" w:type="dxa"/>
            <w:vAlign w:val="center"/>
          </w:tcPr>
          <w:p w14:paraId="2882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年预估量</w:t>
            </w:r>
          </w:p>
        </w:tc>
        <w:tc>
          <w:tcPr>
            <w:tcW w:w="1525" w:type="dxa"/>
            <w:vAlign w:val="center"/>
          </w:tcPr>
          <w:p w14:paraId="142C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上限价（元）</w:t>
            </w:r>
          </w:p>
        </w:tc>
        <w:tc>
          <w:tcPr>
            <w:tcW w:w="1500" w:type="dxa"/>
            <w:vAlign w:val="center"/>
          </w:tcPr>
          <w:p w14:paraId="4872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7992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63" w:type="dxa"/>
            <w:vMerge w:val="restart"/>
            <w:vAlign w:val="center"/>
          </w:tcPr>
          <w:p w14:paraId="1CE1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厕所堵漏疏通及污水管道应急抽排服务项目</w:t>
            </w:r>
          </w:p>
        </w:tc>
        <w:tc>
          <w:tcPr>
            <w:tcW w:w="3035" w:type="dxa"/>
            <w:vAlign w:val="center"/>
          </w:tcPr>
          <w:p w14:paraId="69B4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洗手池疏通</w:t>
            </w:r>
          </w:p>
        </w:tc>
        <w:tc>
          <w:tcPr>
            <w:tcW w:w="1150" w:type="dxa"/>
            <w:vAlign w:val="center"/>
          </w:tcPr>
          <w:p w14:paraId="2DB9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88" w:type="dxa"/>
            <w:vAlign w:val="center"/>
          </w:tcPr>
          <w:p w14:paraId="59F9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1525" w:type="dxa"/>
            <w:vAlign w:val="center"/>
          </w:tcPr>
          <w:p w14:paraId="5EF9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1500" w:type="dxa"/>
            <w:vAlign w:val="center"/>
          </w:tcPr>
          <w:p w14:paraId="002A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</w:p>
        </w:tc>
      </w:tr>
      <w:tr w14:paraId="388E3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63" w:type="dxa"/>
            <w:vMerge w:val="continue"/>
            <w:vAlign w:val="center"/>
          </w:tcPr>
          <w:p w14:paraId="0358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35" w:type="dxa"/>
            <w:vAlign w:val="center"/>
          </w:tcPr>
          <w:p w14:paraId="206D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马桶/便池疏通</w:t>
            </w:r>
          </w:p>
        </w:tc>
        <w:tc>
          <w:tcPr>
            <w:tcW w:w="1150" w:type="dxa"/>
            <w:vAlign w:val="center"/>
          </w:tcPr>
          <w:p w14:paraId="1F69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88" w:type="dxa"/>
            <w:vAlign w:val="center"/>
          </w:tcPr>
          <w:p w14:paraId="40FF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160</w:t>
            </w:r>
          </w:p>
        </w:tc>
        <w:tc>
          <w:tcPr>
            <w:tcW w:w="1525" w:type="dxa"/>
            <w:vAlign w:val="center"/>
          </w:tcPr>
          <w:p w14:paraId="69FB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1500" w:type="dxa"/>
            <w:vAlign w:val="center"/>
          </w:tcPr>
          <w:p w14:paraId="3C57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</w:p>
        </w:tc>
      </w:tr>
      <w:tr w14:paraId="7498B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463" w:type="dxa"/>
            <w:vMerge w:val="continue"/>
            <w:vAlign w:val="center"/>
          </w:tcPr>
          <w:p w14:paraId="1B24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35" w:type="dxa"/>
            <w:vAlign w:val="center"/>
          </w:tcPr>
          <w:p w14:paraId="21AA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污水抽排（9立方/车）</w:t>
            </w:r>
          </w:p>
        </w:tc>
        <w:tc>
          <w:tcPr>
            <w:tcW w:w="1150" w:type="dxa"/>
            <w:vAlign w:val="center"/>
          </w:tcPr>
          <w:p w14:paraId="50A1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</w:t>
            </w:r>
          </w:p>
        </w:tc>
        <w:tc>
          <w:tcPr>
            <w:tcW w:w="1388" w:type="dxa"/>
            <w:vAlign w:val="center"/>
          </w:tcPr>
          <w:p w14:paraId="133C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525" w:type="dxa"/>
            <w:vAlign w:val="center"/>
          </w:tcPr>
          <w:p w14:paraId="18F3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500</w:t>
            </w:r>
          </w:p>
        </w:tc>
        <w:tc>
          <w:tcPr>
            <w:tcW w:w="1500" w:type="dxa"/>
            <w:vAlign w:val="center"/>
          </w:tcPr>
          <w:p w14:paraId="5949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含外运处置</w:t>
            </w:r>
          </w:p>
        </w:tc>
      </w:tr>
      <w:tr w14:paraId="461A6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463" w:type="dxa"/>
            <w:vMerge w:val="continue"/>
            <w:vAlign w:val="center"/>
          </w:tcPr>
          <w:p w14:paraId="1C99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35" w:type="dxa"/>
            <w:vAlign w:val="center"/>
          </w:tcPr>
          <w:p w14:paraId="6E39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污水抽排（6立方/车）</w:t>
            </w:r>
          </w:p>
        </w:tc>
        <w:tc>
          <w:tcPr>
            <w:tcW w:w="1150" w:type="dxa"/>
            <w:vAlign w:val="center"/>
          </w:tcPr>
          <w:p w14:paraId="43E3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</w:t>
            </w:r>
          </w:p>
        </w:tc>
        <w:tc>
          <w:tcPr>
            <w:tcW w:w="1388" w:type="dxa"/>
            <w:vAlign w:val="center"/>
          </w:tcPr>
          <w:p w14:paraId="4ABDC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525" w:type="dxa"/>
            <w:vAlign w:val="center"/>
          </w:tcPr>
          <w:p w14:paraId="7C39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400</w:t>
            </w:r>
          </w:p>
        </w:tc>
        <w:tc>
          <w:tcPr>
            <w:tcW w:w="1500" w:type="dxa"/>
            <w:vAlign w:val="center"/>
          </w:tcPr>
          <w:p w14:paraId="0DE6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</w:p>
        </w:tc>
      </w:tr>
      <w:tr w14:paraId="2B557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463" w:type="dxa"/>
            <w:vMerge w:val="continue"/>
            <w:vAlign w:val="center"/>
          </w:tcPr>
          <w:p w14:paraId="36F0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35" w:type="dxa"/>
            <w:vAlign w:val="center"/>
          </w:tcPr>
          <w:p w14:paraId="088F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地下排污管疏通（机械）</w:t>
            </w:r>
          </w:p>
        </w:tc>
        <w:tc>
          <w:tcPr>
            <w:tcW w:w="1150" w:type="dxa"/>
            <w:vAlign w:val="center"/>
          </w:tcPr>
          <w:p w14:paraId="35BC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388" w:type="dxa"/>
            <w:vAlign w:val="center"/>
          </w:tcPr>
          <w:p w14:paraId="4DE5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1525" w:type="dxa"/>
            <w:vAlign w:val="center"/>
          </w:tcPr>
          <w:p w14:paraId="02BC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1500" w:type="dxa"/>
            <w:vAlign w:val="center"/>
          </w:tcPr>
          <w:p w14:paraId="2578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</w:p>
        </w:tc>
      </w:tr>
      <w:tr w14:paraId="393F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463" w:type="dxa"/>
            <w:vMerge w:val="continue"/>
            <w:vAlign w:val="center"/>
          </w:tcPr>
          <w:p w14:paraId="6617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35" w:type="dxa"/>
            <w:vAlign w:val="center"/>
          </w:tcPr>
          <w:p w14:paraId="1B8E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排污井清理</w:t>
            </w:r>
          </w:p>
        </w:tc>
        <w:tc>
          <w:tcPr>
            <w:tcW w:w="1150" w:type="dxa"/>
            <w:vAlign w:val="center"/>
          </w:tcPr>
          <w:p w14:paraId="0B38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88" w:type="dxa"/>
            <w:vAlign w:val="center"/>
          </w:tcPr>
          <w:p w14:paraId="51A2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525" w:type="dxa"/>
            <w:vAlign w:val="center"/>
          </w:tcPr>
          <w:p w14:paraId="2D9E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1500" w:type="dxa"/>
            <w:vAlign w:val="center"/>
          </w:tcPr>
          <w:p w14:paraId="34F4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含清淤、外运</w:t>
            </w:r>
          </w:p>
        </w:tc>
      </w:tr>
      <w:tr w14:paraId="3E142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061" w:type="dxa"/>
            <w:gridSpan w:val="6"/>
            <w:vAlign w:val="center"/>
          </w:tcPr>
          <w:p w14:paraId="0B2B5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二、涉及项目的其他要求</w:t>
            </w:r>
          </w:p>
        </w:tc>
      </w:tr>
      <w:tr w14:paraId="752D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061" w:type="dxa"/>
            <w:gridSpan w:val="6"/>
            <w:vAlign w:val="center"/>
          </w:tcPr>
          <w:p w14:paraId="416A7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服务范围及内容</w:t>
            </w:r>
          </w:p>
          <w:p w14:paraId="5101B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负责全院以下设施的日常疏通、应急抽排及维护：</w:t>
            </w:r>
          </w:p>
          <w:p w14:paraId="12936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1.洗手池疏通：洗手盆、拖把池等排水管道疏通。</w:t>
            </w:r>
          </w:p>
          <w:p w14:paraId="67294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2.厕所（便池、马桶）疏通：蹲便器、坐便器、小便池及其连接管道。</w:t>
            </w:r>
          </w:p>
          <w:p w14:paraId="4A3A4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3.化粪池污水抽排：化粪池定期清掏、污水抽排、外运处置（需符合环保要求）。</w:t>
            </w:r>
          </w:p>
          <w:p w14:paraId="18C82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4.地下排污管疏通：室外地下污水管网、连接化粪池的主支管道。</w:t>
            </w:r>
          </w:p>
          <w:p w14:paraId="0DB60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5.排污井泥沙清理：污水检查井、格栅井内的淤泥、砂石、杂物清理。</w:t>
            </w:r>
          </w:p>
          <w:p w14:paraId="09EDF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6.化粪池：化粪池全面清掏、池底清理、井盖修复及周边环境恢复。</w:t>
            </w:r>
          </w:p>
          <w:p w14:paraId="180C9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7.其他：医院临时指定的污水管道、隔油池、沉淀池等疏通清理。</w:t>
            </w:r>
            <w:bookmarkStart w:id="0" w:name="_GoBack"/>
          </w:p>
          <w:p w14:paraId="14836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医院可根据实际需要调整具体服务点，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不得拒绝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医院如需新增清单外同类物资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及服务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，可参照市场价或与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协商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协商不成的，医院有权另行采购。</w:t>
            </w:r>
          </w:p>
          <w:p w14:paraId="1C5D1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服务期限</w:t>
            </w:r>
          </w:p>
          <w:p w14:paraId="00469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服务期一年。</w:t>
            </w:r>
          </w:p>
          <w:p w14:paraId="41E36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服务响应时间及要求</w:t>
            </w:r>
          </w:p>
          <w:p w14:paraId="42B42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故障类型响应要求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洗手池、马桶、便池堵塞1小时内到达2小时内疏通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地下排污管堵塞、污水外溢 30分钟内到达3小时内疏通或控制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化粪池满溢或需要抽排 2小时内到达当日完成抽排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排污井泥沙严重淤积 4小时内到达 24小时内清理完毕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395D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应急服务：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须提供24小时联系电话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节假日无休。若无法按时完成，须书面说明并征得医院同意，否则每延迟1小时扣除履约保证金200元。</w:t>
            </w:r>
          </w:p>
          <w:p w14:paraId="2636F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设备要求：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自备高压清洗车、吸污车、疏通机、管道检测设备（如管道内窥镜可选）等。</w:t>
            </w:r>
          </w:p>
          <w:p w14:paraId="57776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验收标准</w:t>
            </w:r>
          </w:p>
          <w:p w14:paraId="683DE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每次服务完成后，由医院总务科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及相关科室人员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现场验收：</w:t>
            </w:r>
          </w:p>
          <w:p w14:paraId="1030D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1.疏通后排水通畅，无返水、无异味。</w:t>
            </w:r>
          </w:p>
          <w:p w14:paraId="55A11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2.化粪池抽排后液面低于出口管底，井盖复位严密，地面冲洗干净。</w:t>
            </w:r>
          </w:p>
          <w:p w14:paraId="4EE7C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3.排污井清理至见底，无硬块残留。</w:t>
            </w:r>
          </w:p>
          <w:p w14:paraId="74721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4.不得损坏原有管道、洁具，如造成损坏，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按原价赔偿或恢复原状。</w:t>
            </w:r>
          </w:p>
          <w:p w14:paraId="7C20C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5.污水外运需提供合法的处置凭证（如化粪池污泥转运联单），否则医院不予结算并有权上报环保部门。</w:t>
            </w:r>
          </w:p>
          <w:p w14:paraId="07C7A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（五）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  <w:p w14:paraId="7AE21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按季度结算。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经总务科及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科室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验收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签字确认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后，中标供应商向采购人开具等额、合法有效的正式发票，采购人于10个工作日内支付当期季度费用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2A90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（六）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履约保证金</w:t>
            </w:r>
          </w:p>
          <w:p w14:paraId="2DEF6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须在合同签订后3日内缴纳履约保证金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000元。</w:t>
            </w:r>
          </w:p>
          <w:p w14:paraId="0CB20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出现以下情形，医院可直接扣除：</w:t>
            </w:r>
          </w:p>
          <w:p w14:paraId="1D5F6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服务响应超时或完成超时，每次扣200元；</w:t>
            </w:r>
          </w:p>
          <w:p w14:paraId="02007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服务质量不达标，被科室有效投诉，每次扣500元；</w:t>
            </w:r>
          </w:p>
          <w:p w14:paraId="31C19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使用违规设备或未提供安全防护，每次扣1000元；</w:t>
            </w:r>
          </w:p>
          <w:p w14:paraId="11573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擅自将服务转包给第三方，扣除全部保证金并解除合同。</w:t>
            </w:r>
          </w:p>
          <w:p w14:paraId="4DD68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保证金不足时，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须在5日内补足。合同期满无违约，无息退还。</w:t>
            </w:r>
          </w:p>
          <w:p w14:paraId="3C08F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（七）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医院权利及特别约定</w:t>
            </w:r>
          </w:p>
          <w:p w14:paraId="3E498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监督权：医院有权随时检查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的作业过程、安全措施、污水去向。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须每季度提供服务台账、照片及视频记录。</w:t>
            </w:r>
          </w:p>
          <w:p w14:paraId="0ECF9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终止权：出现以下情况之一，医院可立即书面解除合同，并不予支付未结算款项，且没收履约保证金：</w:t>
            </w:r>
          </w:p>
          <w:p w14:paraId="352E5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累计有效投诉达到2次；因服务不当造成管道破裂、污水倒灌污染科室或感染风险；擅自将污水排入雨水管网或违规倾倒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拒绝或拖延应急任务超过2次；伪造验收记录或处置凭证。</w:t>
            </w:r>
          </w:p>
          <w:p w14:paraId="5A047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.安全责任：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作业期间须设置警示标识，做好通风及防爆措施。因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原因造成人员伤亡、设施损坏或院内感染，由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承担全部赔偿责任。</w:t>
            </w:r>
          </w:p>
          <w:p w14:paraId="55D6E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Style w:val="18"/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.价格锁定：合同期内，疏通、抽排等各项单价不因市场变化调整。</w:t>
            </w:r>
          </w:p>
          <w:p w14:paraId="240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（八）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  <w:p w14:paraId="49C18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须为作业人员购买意外伤害险，并提供保单复印件。</w:t>
            </w:r>
          </w:p>
          <w:p w14:paraId="13760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作业人员进入医院须遵守院感、疫情防控及消防安全规定，接受院方培训。</w:t>
            </w:r>
          </w:p>
          <w:p w14:paraId="0C2DE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须配备备用设备，确保故障时能快速替换。</w:t>
            </w:r>
          </w:p>
          <w:p w14:paraId="4DD7C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AB0E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bookmarkEnd w:id="0"/>
          <w:p w14:paraId="3C360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52BD6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1AF4F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01EAA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6C188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0A381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6FF6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A45C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18F2A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33956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3A929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1BF63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0BAA9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2F9EC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46DFF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3AC11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D9EA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48FF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1AC75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04FA5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9691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6279F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33049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5213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19835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63A75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091D0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5B95D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6671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4DC2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354DC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3F6E9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58F43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68408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  <w:p w14:paraId="7B07B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</w:tc>
      </w:tr>
    </w:tbl>
    <w:p w14:paraId="77F84E35">
      <w:pPr>
        <w:pStyle w:val="3"/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C72E7">
    <w:pPr>
      <w:pStyle w:val="10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5314950" cy="0"/>
              <wp:effectExtent l="0" t="0" r="0" b="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9510" y="897890"/>
                        <a:ext cx="5314950" cy="0"/>
                      </a:xfrm>
                      <a:prstGeom prst="line">
                        <a:avLst/>
                      </a:prstGeom>
                      <a:ln w="9525">
                        <a:noFil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1026" o:spid="_x0000_s1026" o:spt="20" style="position:absolute;left:0pt;margin-left:90pt;margin-top:72pt;height:0pt;width:418.5pt;mso-position-horizontal-relative:page;mso-position-vertical-relative:page;z-index:251659264;mso-width-relative:margin;mso-height-relative:page;mso-width-percent:1000;" filled="f" stroked="f" coordsize="21600,21600" o:gfxdata="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AV3gDQAAAAAgEAAA8AAAAAAAAA&#10;AQAgAAAAIgAAAGRycy9kb3ducmV2LnhtbFBLAQIUABQAAAAIAIdO4kAw3ppz4AEAAJMDAAAOAAAA&#10;AAAAAAEAIAAAAB8BAABkcnMvZTJvRG9jLnhtbFBLBQYAAAAABgAGAFkBAABxBQAAAAA=&#10;">
              <v:fill on="f" focussize="0,0"/>
              <v:stroke on="f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F1934A"/>
    <w:multiLevelType w:val="singleLevel"/>
    <w:tmpl w:val="56F193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E5CE7"/>
    <w:rsid w:val="028E4F47"/>
    <w:rsid w:val="115251AE"/>
    <w:rsid w:val="145A6B4D"/>
    <w:rsid w:val="18B14232"/>
    <w:rsid w:val="1C333257"/>
    <w:rsid w:val="1C3F3543"/>
    <w:rsid w:val="1CE401C1"/>
    <w:rsid w:val="2686329F"/>
    <w:rsid w:val="32B92F43"/>
    <w:rsid w:val="359C2633"/>
    <w:rsid w:val="3C4B0CE3"/>
    <w:rsid w:val="3CC814BF"/>
    <w:rsid w:val="3CDE376D"/>
    <w:rsid w:val="41FE2D9F"/>
    <w:rsid w:val="45EE5CE7"/>
    <w:rsid w:val="542F606B"/>
    <w:rsid w:val="5F04299B"/>
    <w:rsid w:val="6B6873A3"/>
    <w:rsid w:val="6EA10310"/>
    <w:rsid w:val="7A8D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tabs>
        <w:tab w:val="left" w:pos="2155"/>
      </w:tabs>
      <w:adjustRightInd w:val="0"/>
      <w:spacing w:before="120" w:beforeLines="0" w:line="360" w:lineRule="auto"/>
      <w:ind w:left="2155" w:hanging="1078"/>
      <w:textAlignment w:val="baseline"/>
      <w:outlineLvl w:val="3"/>
    </w:pPr>
    <w:rPr>
      <w:rFonts w:ascii="Arial" w:hAnsi="Times New Roman" w:eastAsia="黑体" w:cs="Times New Roman"/>
      <w:kern w:val="0"/>
      <w:sz w:val="28"/>
      <w:szCs w:val="20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next w:val="1"/>
    <w:qFormat/>
    <w:uiPriority w:val="0"/>
    <w:pPr>
      <w:widowControl w:val="0"/>
      <w:ind w:left="1680" w:hanging="21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Plain Text"/>
    <w:basedOn w:val="1"/>
    <w:next w:val="4"/>
    <w:qFormat/>
    <w:uiPriority w:val="0"/>
    <w:rPr>
      <w:rFonts w:ascii="宋体" w:hAnsi="Courier New" w:cs="Courier New"/>
      <w:szCs w:val="21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next w:val="1"/>
    <w:qFormat/>
    <w:uiPriority w:val="39"/>
    <w:pPr>
      <w:widowControl w:val="0"/>
      <w:tabs>
        <w:tab w:val="right" w:leader="dot" w:pos="8398"/>
      </w:tabs>
      <w:spacing w:before="120" w:after="120"/>
      <w:ind w:firstLine="100" w:firstLineChars="100"/>
      <w:jc w:val="left"/>
    </w:pPr>
    <w:rPr>
      <w:rFonts w:ascii="宋体" w:hAnsi="Times New Roman" w:eastAsia="宋体" w:cs="Times New Roman"/>
      <w:b/>
      <w:bCs/>
      <w:caps/>
      <w:kern w:val="2"/>
      <w:sz w:val="24"/>
      <w:szCs w:val="24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font11"/>
    <w:basedOn w:val="1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21"/>
    <w:basedOn w:val="15"/>
    <w:qFormat/>
    <w:uiPriority w:val="0"/>
    <w:rPr>
      <w:rFonts w:ascii="微软雅黑" w:hAnsi="微软雅黑" w:eastAsia="微软雅黑" w:cs="微软雅黑"/>
      <w:color w:val="333333"/>
      <w:sz w:val="20"/>
      <w:szCs w:val="20"/>
      <w:u w:val="none"/>
    </w:rPr>
  </w:style>
  <w:style w:type="paragraph" w:customStyle="1" w:styleId="19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1520</Words>
  <Characters>1579</Characters>
  <Lines>0</Lines>
  <Paragraphs>0</Paragraphs>
  <TotalTime>27</TotalTime>
  <ScaleCrop>false</ScaleCrop>
  <LinksUpToDate>false</LinksUpToDate>
  <CharactersWithSpaces>1584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2026-03-09T03:13:00Z</dcterms:created>
  <dc:creator>陈洁</dc:creator>
  <cp:lastModifiedBy>陈洁</cp:lastModifiedBy>
  <dcterms:modified xsi:type="dcterms:W3CDTF">2026-10-12T07:20:04Z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B38314E076A74C09B1578CA042C34247_13</vt:lpwstr>
  </property>
  <property fmtid="{D5CDD505-2E9C-101B-9397-08002B2CF9AE}" pid="4" name="KSOTemplateDocerSaveRecord">
    <vt:lpwstr>eyJoZGlkIjoiY2JiYmIwYWQxMTlkN2NjNDhmOTAxMjU2N2I4ZDYzOWQiLCJ1c2VySWQiOiIxNDU2OTE3MTYzIn0=</vt:lpwstr>
  </property>
</Properties>
</file>