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28D5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heading_1"/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一、</w:t>
      </w:r>
      <w:bookmarkStart w:id="1" w:name="heading_0"/>
      <w:r>
        <w:rPr>
          <w:rFonts w:hint="eastAsia" w:ascii="仿宋_GB2312" w:hAnsi="仿宋_GB2312" w:eastAsia="仿宋_GB2312" w:cs="仿宋_GB2312"/>
          <w:b/>
          <w:sz w:val="32"/>
          <w:szCs w:val="32"/>
        </w:rPr>
        <w:t>一票否决项（资质审查，必满足）</w:t>
      </w:r>
      <w:bookmarkEnd w:id="1"/>
    </w:p>
    <w:p w14:paraId="28371A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营业执照经营范围包含可行性研究报告编制、项目咨询、医疗设备相关咨询（任一即可），资质齐全有效；</w:t>
      </w:r>
    </w:p>
    <w:p w14:paraId="533B5D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未被列入失信被执行人、重大税收违法失信主体、政府采购严重违法失信行为记录名单；</w:t>
      </w:r>
    </w:p>
    <w:p w14:paraId="64B5BC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近3年内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至少提供1份及以上</w:t>
      </w:r>
      <w:r>
        <w:rPr>
          <w:rFonts w:hint="eastAsia" w:ascii="仿宋_GB2312" w:hAnsi="仿宋_GB2312" w:eastAsia="仿宋_GB2312" w:cs="仿宋_GB2312"/>
          <w:sz w:val="32"/>
          <w:szCs w:val="32"/>
        </w:rPr>
        <w:t>医院医疗设备（不限品类）可行性研究报告案例（需提供合同复印件及报告首页，可无详细设备清单</w:t>
      </w:r>
      <w:bookmarkStart w:id="3" w:name="_GoBack"/>
      <w:bookmarkEnd w:id="3"/>
      <w:r>
        <w:rPr>
          <w:rFonts w:hint="eastAsia" w:ascii="仿宋_GB2312" w:hAnsi="仿宋_GB2312" w:eastAsia="仿宋_GB2312" w:cs="仿宋_GB2312"/>
          <w:sz w:val="32"/>
          <w:szCs w:val="32"/>
        </w:rPr>
        <w:t>）；</w:t>
      </w:r>
    </w:p>
    <w:p w14:paraId="35AF8B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承诺与本次拟更新设备的生产厂家、代理商、经销商无关联关系，无利益冲突；</w:t>
      </w:r>
    </w:p>
    <w:p w14:paraId="5E9717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项目团队配备相关专业注册咨询工程师（投资）、造价师等，核心人员具备相关专业高级职称及设备更新项目咨询经验，人员稳定且不得随意更换。</w:t>
      </w:r>
    </w:p>
    <w:p w14:paraId="161460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详细评分标准</w:t>
      </w:r>
    </w:p>
    <w:p w14:paraId="731D5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本评分标准针对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我院医疗设备</w:t>
      </w:r>
      <w:r>
        <w:rPr>
          <w:rFonts w:hint="eastAsia" w:ascii="仿宋_GB2312" w:hAnsi="仿宋_GB2312" w:eastAsia="仿宋_GB2312" w:cs="仿宋_GB2312"/>
          <w:sz w:val="32"/>
          <w:szCs w:val="32"/>
        </w:rPr>
        <w:t>初步概要预算的场景，重点考核供应商的行业适配性、可研报告编制能力、服务响应效率及报价合理性，总分100分，结合资质审查（一票否决项）综合遴选，未满足一票否决项直接淘汰。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（总分100分）</w:t>
      </w:r>
      <w:bookmarkEnd w:id="0"/>
    </w:p>
    <w:p w14:paraId="73E69E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bookmarkStart w:id="2" w:name="heading_2"/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遴选补充说明</w:t>
      </w:r>
      <w:bookmarkEnd w:id="2"/>
    </w:p>
    <w:p w14:paraId="4802E52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评分原则：由医学装备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科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后勤科、采购办、</w:t>
      </w:r>
      <w:r>
        <w:rPr>
          <w:rFonts w:hint="eastAsia" w:ascii="仿宋_GB2312" w:hAnsi="仿宋_GB2312" w:eastAsia="仿宋_GB2312" w:cs="仿宋_GB2312"/>
          <w:sz w:val="32"/>
          <w:szCs w:val="32"/>
        </w:rPr>
        <w:t>财务科、医务科组成评审小组，每人独立打分，取平均分作为供应商最终得分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sz w:val="32"/>
          <w:szCs w:val="32"/>
        </w:rPr>
        <w:t>纪检监察室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或者审计科监管遴选过程。</w:t>
      </w:r>
    </w:p>
    <w:p w14:paraId="25A9C3D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优先遴选：得分≥80分，且报价在基准价±10%范围内的供应商，兼顾报告质量与报价合理性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0E96A2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后续衔接：中选供应商需承诺，待医院提供设备详细清单后，免费完善报告中设备技术参数、具体选型分析等内容，相关要求可写入服务合同。</w:t>
      </w:r>
    </w:p>
    <w:tbl>
      <w:tblPr>
        <w:tblStyle w:val="2"/>
        <w:tblW w:w="5000" w:type="pct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11"/>
        <w:gridCol w:w="1607"/>
        <w:gridCol w:w="1024"/>
        <w:gridCol w:w="3241"/>
        <w:gridCol w:w="896"/>
        <w:gridCol w:w="1066"/>
      </w:tblGrid>
      <w:tr w14:paraId="33DFF3B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545" w:type="dxa"/>
            <w:gridSpan w:val="6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3FE7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sz w:val="32"/>
                <w:szCs w:val="32"/>
                <w:lang w:val="en-US" w:eastAsia="zh-CN"/>
              </w:rPr>
              <w:t>百色市中医医院</w:t>
            </w:r>
          </w:p>
          <w:p w14:paraId="5D641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sz w:val="32"/>
                <w:szCs w:val="32"/>
                <w:lang w:val="en-US" w:eastAsia="zh-CN"/>
              </w:rPr>
              <w:t>医疗设备可研报告服务供应商遴选评分标准</w:t>
            </w:r>
          </w:p>
        </w:tc>
      </w:tr>
      <w:tr w14:paraId="4B0CF4F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4890C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60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332A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评分维度</w:t>
            </w:r>
          </w:p>
        </w:tc>
        <w:tc>
          <w:tcPr>
            <w:tcW w:w="102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84A7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总分值</w:t>
            </w:r>
          </w:p>
        </w:tc>
        <w:tc>
          <w:tcPr>
            <w:tcW w:w="324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26F1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具体评分细则</w:t>
            </w:r>
          </w:p>
        </w:tc>
        <w:tc>
          <w:tcPr>
            <w:tcW w:w="89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AB09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专家打分（0-总分值）</w:t>
            </w:r>
          </w:p>
        </w:tc>
        <w:tc>
          <w:tcPr>
            <w:tcW w:w="10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496F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扣分说明（可选）</w:t>
            </w:r>
          </w:p>
        </w:tc>
      </w:tr>
      <w:tr w14:paraId="45872B8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BB65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1</w:t>
            </w:r>
          </w:p>
        </w:tc>
        <w:tc>
          <w:tcPr>
            <w:tcW w:w="160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1884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企业资质与行业经验</w:t>
            </w:r>
          </w:p>
        </w:tc>
        <w:tc>
          <w:tcPr>
            <w:tcW w:w="102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E5DD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20分</w:t>
            </w:r>
          </w:p>
        </w:tc>
        <w:tc>
          <w:tcPr>
            <w:tcW w:w="324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6405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1. 营业执照规范、经营范围贴合医疗咨询/可研编制，得4分；经营范围不贴合但可覆盖核心需求，得2分；未覆盖不得分。</w:t>
            </w:r>
          </w:p>
          <w:p w14:paraId="29AF3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2. 公司成立年限≥3年得4分，1-3年得2分，不足1年不得分。</w:t>
            </w:r>
          </w:p>
          <w:p w14:paraId="5A8EC9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3. 医疗设备可研案例：每提供1份三级医院案例得6分，二级医院案例得4分，最多得12分（未提供不得分，案例无需对应具体设备清单）。</w:t>
            </w:r>
          </w:p>
        </w:tc>
        <w:tc>
          <w:tcPr>
            <w:tcW w:w="89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C0B2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________</w:t>
            </w:r>
          </w:p>
          <w:p w14:paraId="5FD4F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10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888F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________</w:t>
            </w:r>
          </w:p>
        </w:tc>
      </w:tr>
      <w:tr w14:paraId="59B967D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D900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2</w:t>
            </w:r>
          </w:p>
        </w:tc>
        <w:tc>
          <w:tcPr>
            <w:tcW w:w="160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83F9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可研报告编制能力（核心）</w:t>
            </w:r>
          </w:p>
        </w:tc>
        <w:tc>
          <w:tcPr>
            <w:tcW w:w="102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2CCC2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35分</w:t>
            </w:r>
          </w:p>
        </w:tc>
        <w:tc>
          <w:tcPr>
            <w:tcW w:w="324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30B2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1. 报告框架完整性：提供的样本报告（或框架模板）包括但不限于“项目背景和必要性分析；项目的可行性分析论证；项目需求分析；项目选址及要素保障；项目设备更新方案；项目建设管理方案；项目运营方案；项目投融资方案；项目影响效果分析；项目风险分析；招标方式及项目实施进度计划；可行性研究报告须通过专家评审并取得项目立项批复”核心模块，得1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分；缺1个模块扣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分，扣完为止。</w:t>
            </w:r>
          </w:p>
          <w:p w14:paraId="22FD2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2. 预算适配性：能结合医院初步概要预算，合理搭建效益测算体系（含成本、收益、回收期等核心测算项），贴合医院预算规模，得1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分；测算体系不完善得5-1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分；未结合预算测算不得分。</w:t>
            </w:r>
          </w:p>
          <w:p w14:paraId="3F39E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3. 行业适配性：报告内容贴合医院场景，能体现对医疗设备配置政策、医院运营逻辑的理解，无脱离医疗行业的表述，得8分；贴合度一般得3-7分；不贴合不得分。</w:t>
            </w:r>
          </w:p>
        </w:tc>
        <w:tc>
          <w:tcPr>
            <w:tcW w:w="89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F184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________</w:t>
            </w:r>
          </w:p>
        </w:tc>
        <w:tc>
          <w:tcPr>
            <w:tcW w:w="10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E56D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________</w:t>
            </w:r>
          </w:p>
        </w:tc>
      </w:tr>
      <w:tr w14:paraId="7781DFB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0A639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3</w:t>
            </w:r>
          </w:p>
        </w:tc>
        <w:tc>
          <w:tcPr>
            <w:tcW w:w="160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AC3AE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项目团队与服务能力</w:t>
            </w:r>
          </w:p>
        </w:tc>
        <w:tc>
          <w:tcPr>
            <w:tcW w:w="102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2E4E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20分</w:t>
            </w:r>
          </w:p>
        </w:tc>
        <w:tc>
          <w:tcPr>
            <w:tcW w:w="324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DF754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1. 项目负责人：高级职称得8分，中级职称得5分；有5年以上医疗设备可研项目经验，额外加2分（最多8分）。</w:t>
            </w:r>
          </w:p>
          <w:p w14:paraId="56D99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2. 团队配置：相关专业注册咨询工程师（投资）、造价师专业人员各1名及以上，得6分；缺1类得3分；均无不得分。</w:t>
            </w:r>
          </w:p>
          <w:p w14:paraId="07950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3. 服务响应：承诺配合医院补充设备清单后，7个工作日内完善报告相关内容，提供专人对接、免费修改服务（至少3次修改），得6分；响应不及时、修改次数不足得2-5分；不承诺修改不得分。</w:t>
            </w:r>
          </w:p>
        </w:tc>
        <w:tc>
          <w:tcPr>
            <w:tcW w:w="89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1C0BC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________</w:t>
            </w:r>
          </w:p>
          <w:p w14:paraId="0F3FD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10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B5158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________</w:t>
            </w:r>
          </w:p>
        </w:tc>
      </w:tr>
      <w:tr w14:paraId="0997368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5E1D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4</w:t>
            </w:r>
          </w:p>
        </w:tc>
        <w:tc>
          <w:tcPr>
            <w:tcW w:w="160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8E4A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服务方案与工期</w:t>
            </w:r>
          </w:p>
        </w:tc>
        <w:tc>
          <w:tcPr>
            <w:tcW w:w="102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C085A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10分</w:t>
            </w:r>
          </w:p>
        </w:tc>
        <w:tc>
          <w:tcPr>
            <w:tcW w:w="324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071B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1. 工作流程清晰：明确“资料收集、框架搭建、初稿编制、修改完善、定稿提交”各环节，贴合医院进度需求，得6分；流程不清晰得2-5分；无流程规划不得分。</w:t>
            </w:r>
          </w:p>
          <w:p w14:paraId="23596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2. 工期合理性：结合医院初步计划，承诺在收到初步预算及基础信息后，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个工作日内提交初稿（可根据医院需求调整），得4分；工期过长（超过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个工作日）得1-3分；未明确工期不得分。</w:t>
            </w:r>
          </w:p>
        </w:tc>
        <w:tc>
          <w:tcPr>
            <w:tcW w:w="89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3AEC1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________</w:t>
            </w:r>
          </w:p>
        </w:tc>
        <w:tc>
          <w:tcPr>
            <w:tcW w:w="10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516F2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________</w:t>
            </w:r>
          </w:p>
        </w:tc>
      </w:tr>
      <w:tr w14:paraId="5EF2B43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57C9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5</w:t>
            </w:r>
          </w:p>
        </w:tc>
        <w:tc>
          <w:tcPr>
            <w:tcW w:w="160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78E0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报价合理性（质优价廉核心）</w:t>
            </w:r>
          </w:p>
        </w:tc>
        <w:tc>
          <w:tcPr>
            <w:tcW w:w="102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FE37F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15分</w:t>
            </w:r>
          </w:p>
        </w:tc>
        <w:tc>
          <w:tcPr>
            <w:tcW w:w="324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6BFB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1. 采用基准价法评分：以所有有效报价的算术平均值为基准价，报价与基准价一致得15分；偏离基准价±1%，扣1分，扣完为止。</w:t>
            </w:r>
          </w:p>
          <w:p w14:paraId="37382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2. 报价异常处理：报价高于基准价20%及以上，视为不合理报价，扣10分；报价低于基准价30%及以下，视为恶意低价，扣15分（可结合医院预算合理调整偏离幅度）。</w:t>
            </w:r>
          </w:p>
          <w:p w14:paraId="735AB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3. 报价包含全部服务内容（初稿编制、修改完善、配合上会等），无隐形收费，得额外加2分（不累计超过15分）。</w:t>
            </w:r>
          </w:p>
        </w:tc>
        <w:tc>
          <w:tcPr>
            <w:tcW w:w="89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7699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________</w:t>
            </w:r>
          </w:p>
        </w:tc>
        <w:tc>
          <w:tcPr>
            <w:tcW w:w="10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66C9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________</w:t>
            </w:r>
          </w:p>
        </w:tc>
      </w:tr>
      <w:tr w14:paraId="23DCE71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18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C263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合计得分</w:t>
            </w:r>
          </w:p>
        </w:tc>
        <w:tc>
          <w:tcPr>
            <w:tcW w:w="102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FCABE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100分</w:t>
            </w:r>
          </w:p>
        </w:tc>
        <w:tc>
          <w:tcPr>
            <w:tcW w:w="324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EFBB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（各分项得分相加）</w:t>
            </w:r>
          </w:p>
        </w:tc>
        <w:tc>
          <w:tcPr>
            <w:tcW w:w="89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2CAE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________</w:t>
            </w:r>
          </w:p>
        </w:tc>
        <w:tc>
          <w:tcPr>
            <w:tcW w:w="10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3AEC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专家签字：________</w:t>
            </w:r>
          </w:p>
        </w:tc>
      </w:tr>
    </w:tbl>
    <w:p w14:paraId="34BB14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EE33E0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FEBBC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1A3826"/>
    <w:multiLevelType w:val="singleLevel"/>
    <w:tmpl w:val="E11A3826"/>
    <w:lvl w:ilvl="0" w:tentative="0">
      <w:start w:val="1"/>
      <w:numFmt w:val="decimal"/>
      <w:suff w:val="space"/>
      <w:lvlText w:val="%1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04A70542"/>
    <w:rsid w:val="092C1016"/>
    <w:rsid w:val="09667BA1"/>
    <w:rsid w:val="15F958D1"/>
    <w:rsid w:val="16E507BE"/>
    <w:rsid w:val="186D1CFF"/>
    <w:rsid w:val="19F65454"/>
    <w:rsid w:val="1AA44CCA"/>
    <w:rsid w:val="23575EA4"/>
    <w:rsid w:val="27321A96"/>
    <w:rsid w:val="27C656D9"/>
    <w:rsid w:val="297B5976"/>
    <w:rsid w:val="2A2833C4"/>
    <w:rsid w:val="2E0E0B66"/>
    <w:rsid w:val="334B2DE1"/>
    <w:rsid w:val="35EB79DF"/>
    <w:rsid w:val="36B063BC"/>
    <w:rsid w:val="380207F0"/>
    <w:rsid w:val="3A241712"/>
    <w:rsid w:val="3B0F7704"/>
    <w:rsid w:val="3BF65A53"/>
    <w:rsid w:val="3EDC080D"/>
    <w:rsid w:val="40F6445E"/>
    <w:rsid w:val="43375F68"/>
    <w:rsid w:val="44F624F7"/>
    <w:rsid w:val="47450AFA"/>
    <w:rsid w:val="4A7F4E6E"/>
    <w:rsid w:val="4B9354CB"/>
    <w:rsid w:val="4D5865D0"/>
    <w:rsid w:val="515D65EF"/>
    <w:rsid w:val="52E55A8A"/>
    <w:rsid w:val="5434312F"/>
    <w:rsid w:val="55356E17"/>
    <w:rsid w:val="55692DE3"/>
    <w:rsid w:val="58951D01"/>
    <w:rsid w:val="59BB14C6"/>
    <w:rsid w:val="5AAD1584"/>
    <w:rsid w:val="5ED3049B"/>
    <w:rsid w:val="60671456"/>
    <w:rsid w:val="631D51D0"/>
    <w:rsid w:val="662F72F1"/>
    <w:rsid w:val="6825719C"/>
    <w:rsid w:val="68663C2D"/>
    <w:rsid w:val="69ED4529"/>
    <w:rsid w:val="6C8B0FF9"/>
    <w:rsid w:val="6E8B48D5"/>
    <w:rsid w:val="7075449A"/>
    <w:rsid w:val="759437AB"/>
    <w:rsid w:val="7AA13400"/>
    <w:rsid w:val="7AB160CE"/>
    <w:rsid w:val="7BAE6A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753</Words>
  <Characters>787</Characters>
  <TotalTime>0</TotalTime>
  <ScaleCrop>false</ScaleCrop>
  <LinksUpToDate>false</LinksUpToDate>
  <CharactersWithSpaces>792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2026-03-28T16:18:00Z</dcterms:created>
  <dc:creator>Apache POI</dc:creator>
  <cp:lastModifiedBy>李雅婷</cp:lastModifiedBy>
  <dcterms:modified xsi:type="dcterms:W3CDTF">2026-10-26T04:10:37Z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eyJoZGlkIjoiYWQxMWZiYjNmYmZjZTI2ODg0ZWNiYjE0NWViNGFhOTYiLCJ1c2VySWQiOiI1MDU3Mzc2NjEifQ==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8667E179226548988D5A083D1765821C_12</vt:lpwstr>
  </property>
</Properties>
</file>