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B435A">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百色市中医医院</w:t>
      </w:r>
    </w:p>
    <w:p w14:paraId="5F3E5B86">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中医治未病健康管理系统运维服务参数</w:t>
      </w:r>
    </w:p>
    <w:p w14:paraId="35BF122A">
      <w:pPr>
        <w:pStyle w:val="2"/>
        <w:numPr>
          <w:ilvl w:val="0"/>
          <w:numId w:val="0"/>
        </w:numPr>
        <w:ind w:leftChars="0"/>
        <w:jc w:val="left"/>
        <w:rPr>
          <w:rFonts w:hint="default" w:ascii="宋体" w:hAnsi="宋体" w:eastAsia="宋体" w:cs="宋体"/>
          <w:b/>
          <w:bCs w:val="0"/>
          <w:snapToGrid w:val="0"/>
          <w:color w:val="000000" w:themeColor="text1"/>
          <w:kern w:val="0"/>
          <w:sz w:val="28"/>
          <w:szCs w:val="28"/>
          <w:highlight w:val="none"/>
          <w:lang w:val="en-US" w:eastAsia="zh-CN" w:bidi="ar-SA"/>
          <w14:textFill>
            <w14:solidFill>
              <w14:schemeClr w14:val="tx1"/>
            </w14:solidFill>
          </w14:textFill>
        </w:rPr>
      </w:pPr>
      <w:r>
        <w:rPr>
          <w:rFonts w:hint="eastAsia" w:ascii="宋体" w:hAnsi="宋体" w:eastAsia="宋体" w:cs="宋体"/>
          <w:b/>
          <w:bCs w:val="0"/>
          <w:snapToGrid w:val="0"/>
          <w:color w:val="000000" w:themeColor="text1"/>
          <w:kern w:val="0"/>
          <w:sz w:val="28"/>
          <w:szCs w:val="28"/>
          <w:highlight w:val="none"/>
          <w:lang w:val="en-US" w:eastAsia="zh-CN" w:bidi="ar-SA"/>
          <w14:textFill>
            <w14:solidFill>
              <w14:schemeClr w14:val="tx1"/>
            </w14:solidFill>
          </w14:textFill>
        </w:rPr>
        <w:t>一、运维服务事项</w:t>
      </w:r>
    </w:p>
    <w:tbl>
      <w:tblPr>
        <w:tblStyle w:val="11"/>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710"/>
        <w:gridCol w:w="6938"/>
      </w:tblGrid>
      <w:tr w14:paraId="123B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686376E7">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序号</w:t>
            </w:r>
          </w:p>
        </w:tc>
        <w:tc>
          <w:tcPr>
            <w:tcW w:w="1710" w:type="dxa"/>
            <w:vAlign w:val="center"/>
          </w:tcPr>
          <w:p w14:paraId="293CBD5D">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服务事项</w:t>
            </w:r>
          </w:p>
        </w:tc>
        <w:tc>
          <w:tcPr>
            <w:tcW w:w="6938" w:type="dxa"/>
            <w:vAlign w:val="center"/>
          </w:tcPr>
          <w:p w14:paraId="72AE8223">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服务内容</w:t>
            </w:r>
          </w:p>
        </w:tc>
      </w:tr>
      <w:tr w14:paraId="12DD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6444107B">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1710" w:type="dxa"/>
            <w:vAlign w:val="center"/>
          </w:tcPr>
          <w:p w14:paraId="0E2C3BF0">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应用运维</w:t>
            </w:r>
          </w:p>
        </w:tc>
        <w:tc>
          <w:tcPr>
            <w:tcW w:w="6938" w:type="dxa"/>
            <w:vAlign w:val="center"/>
          </w:tcPr>
          <w:p w14:paraId="578B400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b w:val="0"/>
                <w:bCs w:val="0"/>
                <w:color w:val="auto"/>
                <w:kern w:val="2"/>
                <w:sz w:val="24"/>
                <w:szCs w:val="24"/>
                <w:highlight w:val="none"/>
                <w:lang w:val="en-US" w:eastAsia="zh-CN" w:bidi="ar-SA"/>
              </w:rPr>
              <w:t>熟悉现用中医治未病健康管理系统的业务流程和所有功能模块应用场景，提供现用中医治未病健康管理系统软件升级服务、系统日常故障排除。</w:t>
            </w:r>
          </w:p>
        </w:tc>
      </w:tr>
      <w:tr w14:paraId="2DC2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1D04C3AE">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w:t>
            </w:r>
          </w:p>
        </w:tc>
        <w:tc>
          <w:tcPr>
            <w:tcW w:w="1710" w:type="dxa"/>
            <w:vAlign w:val="center"/>
          </w:tcPr>
          <w:p w14:paraId="2FC97DCE">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数据运维</w:t>
            </w:r>
          </w:p>
        </w:tc>
        <w:tc>
          <w:tcPr>
            <w:tcW w:w="6938" w:type="dxa"/>
            <w:vAlign w:val="center"/>
          </w:tcPr>
          <w:p w14:paraId="22FAC69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b w:val="0"/>
                <w:bCs w:val="0"/>
                <w:color w:val="auto"/>
                <w:kern w:val="2"/>
                <w:sz w:val="24"/>
                <w:szCs w:val="24"/>
                <w:highlight w:val="none"/>
                <w:lang w:val="en-US" w:eastAsia="zh-CN" w:bidi="ar-SA"/>
              </w:rPr>
              <w:t>熟悉现用中医治未病健康管理系统数据结构，确保现用报表正常运行和数据完整性及准确性，确保按时、按要求完成。</w:t>
            </w:r>
          </w:p>
        </w:tc>
      </w:tr>
      <w:tr w14:paraId="56BA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3646EDD7">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w:t>
            </w:r>
          </w:p>
        </w:tc>
        <w:tc>
          <w:tcPr>
            <w:tcW w:w="1710" w:type="dxa"/>
            <w:vAlign w:val="center"/>
          </w:tcPr>
          <w:p w14:paraId="25B19BC4">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服务器运维</w:t>
            </w:r>
          </w:p>
        </w:tc>
        <w:tc>
          <w:tcPr>
            <w:tcW w:w="6938" w:type="dxa"/>
            <w:vAlign w:val="center"/>
          </w:tcPr>
          <w:p w14:paraId="06D7D53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b w:val="0"/>
                <w:bCs w:val="0"/>
                <w:color w:val="auto"/>
                <w:kern w:val="2"/>
                <w:sz w:val="24"/>
                <w:szCs w:val="24"/>
                <w:highlight w:val="none"/>
                <w:lang w:val="en-US" w:eastAsia="zh-CN" w:bidi="ar-SA"/>
              </w:rPr>
              <w:t>定期对服务器进行安全检查，保障服务器的正常运行，配合医院进行服务器搬迁、服务紧急恢复、补丁修复服务器操作系统漏洞等。</w:t>
            </w:r>
          </w:p>
        </w:tc>
      </w:tr>
      <w:tr w14:paraId="749B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77155286">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w:t>
            </w:r>
          </w:p>
        </w:tc>
        <w:tc>
          <w:tcPr>
            <w:tcW w:w="1710" w:type="dxa"/>
            <w:vAlign w:val="center"/>
          </w:tcPr>
          <w:p w14:paraId="42B754E9">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巡检</w:t>
            </w:r>
          </w:p>
        </w:tc>
        <w:tc>
          <w:tcPr>
            <w:tcW w:w="6938" w:type="dxa"/>
            <w:vAlign w:val="center"/>
          </w:tcPr>
          <w:p w14:paraId="385D548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b w:val="0"/>
                <w:bCs w:val="0"/>
                <w:color w:val="auto"/>
                <w:kern w:val="2"/>
                <w:sz w:val="24"/>
                <w:szCs w:val="24"/>
                <w:highlight w:val="none"/>
                <w:lang w:val="en-US" w:eastAsia="zh-CN" w:bidi="ar-SA"/>
              </w:rPr>
              <w:t>对医院中医治未病健康管理系统相关的服务器、网络、软件、接口等开展一年两次的巡检服务，巡检完成提供相应记录单。</w:t>
            </w:r>
          </w:p>
        </w:tc>
      </w:tr>
      <w:tr w14:paraId="11A4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47E11103">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w:t>
            </w:r>
          </w:p>
        </w:tc>
        <w:tc>
          <w:tcPr>
            <w:tcW w:w="1710" w:type="dxa"/>
            <w:vAlign w:val="center"/>
          </w:tcPr>
          <w:p w14:paraId="1A8D6068">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安全整改</w:t>
            </w:r>
          </w:p>
        </w:tc>
        <w:tc>
          <w:tcPr>
            <w:tcW w:w="6938" w:type="dxa"/>
            <w:vAlign w:val="center"/>
          </w:tcPr>
          <w:p w14:paraId="65F747DC">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rPr>
              <w:t>配合单位利用漏洞扫描工具、人工渗透测试以及国家漏洞库最新漏洞通报等手段，持续进行漏洞监测和恢复工作，并根据需求进行整改。</w:t>
            </w:r>
          </w:p>
        </w:tc>
      </w:tr>
      <w:tr w14:paraId="32BB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Align w:val="center"/>
          </w:tcPr>
          <w:p w14:paraId="77D97B33">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w:t>
            </w:r>
          </w:p>
        </w:tc>
        <w:tc>
          <w:tcPr>
            <w:tcW w:w="1710" w:type="dxa"/>
            <w:vAlign w:val="center"/>
          </w:tcPr>
          <w:p w14:paraId="670FF537">
            <w:pPr>
              <w:pStyle w:val="6"/>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测评整改</w:t>
            </w:r>
          </w:p>
        </w:tc>
        <w:tc>
          <w:tcPr>
            <w:tcW w:w="6938" w:type="dxa"/>
            <w:vAlign w:val="center"/>
          </w:tcPr>
          <w:p w14:paraId="1AEB93DE">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rPr>
              <w:t>运维服务商</w:t>
            </w:r>
            <w:r>
              <w:rPr>
                <w:rFonts w:hint="eastAsia" w:ascii="宋体" w:hAnsi="宋体" w:eastAsia="宋体" w:cs="宋体"/>
                <w:sz w:val="24"/>
                <w:szCs w:val="24"/>
                <w:highlight w:val="none"/>
                <w:lang w:val="en-US" w:eastAsia="zh-CN"/>
              </w:rPr>
              <w:t>需</w:t>
            </w:r>
            <w:r>
              <w:rPr>
                <w:rFonts w:hint="eastAsia" w:ascii="宋体" w:hAnsi="宋体" w:eastAsia="宋体" w:cs="宋体"/>
                <w:sz w:val="24"/>
                <w:szCs w:val="24"/>
                <w:highlight w:val="none"/>
              </w:rPr>
              <w:t>密切配合医院完成网络安全等级保护和商用密码安全性评估的各项评审工作，并确保整改措施满足国家相关要求。如医院开展国产化、信创改造等工作，运维服务商将无条件提供必要的技术支持和协助。</w:t>
            </w:r>
          </w:p>
        </w:tc>
      </w:tr>
    </w:tbl>
    <w:p w14:paraId="639A48F5">
      <w:pPr>
        <w:rPr>
          <w:rFonts w:hint="eastAsia" w:ascii="宋体" w:hAnsi="宋体" w:eastAsia="宋体" w:cs="宋体"/>
          <w:sz w:val="16"/>
          <w:szCs w:val="18"/>
          <w:highlight w:val="none"/>
          <w:lang w:val="en-US" w:eastAsia="zh-CN"/>
        </w:rPr>
      </w:pPr>
      <w:r>
        <w:rPr>
          <w:rFonts w:hint="eastAsia" w:ascii="宋体" w:hAnsi="宋体" w:eastAsia="宋体" w:cs="宋体"/>
          <w:sz w:val="16"/>
          <w:szCs w:val="18"/>
          <w:highlight w:val="none"/>
          <w:lang w:val="en-US" w:eastAsia="zh-CN"/>
        </w:rPr>
        <w:br w:type="page"/>
      </w:r>
    </w:p>
    <w:p w14:paraId="43EDEFD0">
      <w:pPr>
        <w:pStyle w:val="2"/>
        <w:numPr>
          <w:ilvl w:val="0"/>
          <w:numId w:val="0"/>
        </w:numPr>
        <w:ind w:leftChars="0"/>
        <w:jc w:val="left"/>
        <w:rPr>
          <w:rFonts w:hint="default" w:ascii="宋体" w:hAnsi="宋体" w:eastAsia="宋体" w:cs="宋体"/>
          <w:b/>
          <w:bCs w:val="0"/>
          <w:snapToGrid w:val="0"/>
          <w:color w:val="000000" w:themeColor="text1"/>
          <w:kern w:val="0"/>
          <w:sz w:val="28"/>
          <w:szCs w:val="28"/>
          <w:highlight w:val="none"/>
          <w:lang w:val="en-US" w:eastAsia="zh-CN" w:bidi="ar-SA"/>
          <w14:textFill>
            <w14:solidFill>
              <w14:schemeClr w14:val="tx1"/>
            </w14:solidFill>
          </w14:textFill>
        </w:rPr>
      </w:pPr>
      <w:r>
        <w:rPr>
          <w:rFonts w:hint="eastAsia" w:ascii="宋体" w:hAnsi="宋体" w:eastAsia="宋体" w:cs="宋体"/>
          <w:b/>
          <w:bCs w:val="0"/>
          <w:snapToGrid w:val="0"/>
          <w:color w:val="000000" w:themeColor="text1"/>
          <w:kern w:val="0"/>
          <w:sz w:val="28"/>
          <w:szCs w:val="28"/>
          <w:highlight w:val="none"/>
          <w:lang w:val="en-US" w:eastAsia="zh-CN" w:bidi="ar-SA"/>
          <w14:textFill>
            <w14:solidFill>
              <w14:schemeClr w14:val="tx1"/>
            </w14:solidFill>
          </w14:textFill>
        </w:rPr>
        <w:t>二、运维内容要求</w:t>
      </w:r>
    </w:p>
    <w:p w14:paraId="1283ED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1、远程技术支持服务</w:t>
      </w:r>
    </w:p>
    <w:p w14:paraId="738B7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乙方将设立技术支持/售后服务热线电话。用户可通过拨打服务热线电话进行故障保修或技术咨询。同时，乙方将提供技术支持中心负责人的手机，该手机24小时开机，提供全年7*24小时的全天候售后服务。</w:t>
      </w:r>
    </w:p>
    <w:p w14:paraId="44663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另外用户可通过即时通讯工具QQ、微信、邮件等通信方式获得售后支持服务。</w:t>
      </w:r>
    </w:p>
    <w:p w14:paraId="6B0714FF">
      <w:pPr>
        <w:pStyle w:val="6"/>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2、响应机制</w:t>
      </w:r>
    </w:p>
    <w:p w14:paraId="391605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维护期内，乙方为甲方提供远程服务;当系统发生重大故障并远程无法解决时，乙方指派的工程师在12小时内到达现场，进行维护并在6小时内解决问题。在接到非紧急现场服务请求并远程无法解决请求服务时，24小时内做出响应，指派的工程师在8小时内进行维护解决问题。维护完成后向院方提交系统完整的故障报告。</w:t>
      </w:r>
    </w:p>
    <w:p w14:paraId="3B36E7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3、现场服务</w:t>
      </w:r>
    </w:p>
    <w:p w14:paraId="612BC5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在维保期内，乙方对软件提供定期的预防性维护和临时性紧急维修服务;乙方提供每半年一次的巡检服务，指派专人对系统进行全面检测，分析软件运行情况。</w:t>
      </w:r>
    </w:p>
    <w:p w14:paraId="40562B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4、系统升级和系统改造</w:t>
      </w:r>
    </w:p>
    <w:p w14:paraId="2832C0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系统在产品质量保证期内，乙方提供免费软件升级，不收取额外费用，乙方每半年一次对所有在网络设备进行软件版本普查，免费对系统进行现场升级。</w:t>
      </w:r>
    </w:p>
    <w:p w14:paraId="015F30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在运行期间，由于甲方原因需要对系统进行重大调整，需要双方共同确认改造方案和技术人员配备方案。</w:t>
      </w:r>
    </w:p>
    <w:p w14:paraId="3AB60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5、技术培训</w:t>
      </w:r>
    </w:p>
    <w:p w14:paraId="6764A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系统运行和日常维护工作情况，结合用户对今后系统发展规划和需求，有针对性的提供有关培训和咨询服务，提高用户系统维护人员的技术水平和业务人员的业务素质。乙方将派遣资深技术工程师到用户工作现场，对各种技术问题和软件的安装及配置方法，进行现场指导和培训。</w:t>
      </w:r>
    </w:p>
    <w:p w14:paraId="76C532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6、紧急情况处理</w:t>
      </w:r>
    </w:p>
    <w:p w14:paraId="6318B6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提供了24小时开机的专职服务工程师和项目经理手机，任何时候客户都可以及时找到最具经验的专家，防止问题处理的任何环节出现延迟，以尽快解决问题。</w:t>
      </w:r>
    </w:p>
    <w:p w14:paraId="5ED301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7、维护程序</w:t>
      </w:r>
    </w:p>
    <w:p w14:paraId="2375F1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在用户需要技术支持服务时，可以以热线电话或者电子邮件的形式通知技术服务中心，技术服务中心的技术人员将在第一时间与用户联系，了解用户的准确需求，针对运行问题，技术人员将会对问题的相关现象进行详细记录，同时为用户提供解决方案，或者告知明确的答复时间，随后组织相应的技术力量对问题进行分析，制定解决方案。此外，乙方将为用户提供每半年一次的巡检服务，指派专人对系统进行全面检测，分析软件运行情况。</w:t>
      </w:r>
    </w:p>
    <w:p w14:paraId="4B5335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在系统运行过程中，出现的故障主要存在以下几类:操作错误、配置错误、通讯线路错误或硬件故障，技术服务中心在得到了用户的故障服务请求之后，将搜集充分的故障信息，分析故障的种类，根据不同故障采取相应的解决方案,视具体情况对用户进行电话支持或者现场服务，必要时协调原厂商的技术人员共同研究并解决问题。</w:t>
      </w:r>
    </w:p>
    <w:p w14:paraId="0EE6172A">
      <w:pPr>
        <w:rPr>
          <w:rFonts w:hint="default" w:ascii="仿宋_GB2312" w:eastAsia="仿宋_GB2312" w:cstheme="minorBidi"/>
          <w:b w:val="0"/>
          <w:bCs w:val="0"/>
          <w:kern w:val="2"/>
          <w:sz w:val="28"/>
          <w:szCs w:val="24"/>
          <w:highlight w:val="none"/>
          <w:lang w:val="en-US" w:eastAsia="zh-CN" w:bidi="ar-SA"/>
        </w:rPr>
      </w:pPr>
      <w:bookmarkStart w:id="0" w:name="_GoBack"/>
      <w:bookmarkEnd w:id="0"/>
    </w:p>
    <w:sectPr>
      <w:footerReference r:id="rId3" w:type="default"/>
      <w:pgSz w:w="11906" w:h="16838"/>
      <w:pgMar w:top="1134" w:right="1800" w:bottom="1134"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3C9AF">
    <w:pPr>
      <w:pStyle w:val="8"/>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993F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4993F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F85BF9"/>
    <w:multiLevelType w:val="multilevel"/>
    <w:tmpl w:val="46F85BF9"/>
    <w:lvl w:ilvl="0" w:tentative="0">
      <w:start w:val="1"/>
      <w:numFmt w:val="decimal"/>
      <w:pStyle w:val="2"/>
      <w:lvlText w:val="%1"/>
      <w:lvlJc w:val="left"/>
      <w:pPr>
        <w:ind w:left="432" w:hanging="432"/>
      </w:pPr>
      <w:rPr>
        <w:rFonts w:ascii="黑体" w:hAnsi="黑体" w:eastAsia="黑体"/>
      </w:rPr>
    </w:lvl>
    <w:lvl w:ilvl="1" w:tentative="0">
      <w:start w:val="1"/>
      <w:numFmt w:val="decimal"/>
      <w:lvlText w:val="%1.%2"/>
      <w:lvlJc w:val="left"/>
      <w:pPr>
        <w:ind w:left="2278" w:hanging="576"/>
      </w:pPr>
      <w:rPr>
        <w:rFonts w:ascii="黑体" w:hAnsi="黑体" w:eastAsia="黑体"/>
      </w:rPr>
    </w:lvl>
    <w:lvl w:ilvl="2" w:tentative="0">
      <w:start w:val="1"/>
      <w:numFmt w:val="decimal"/>
      <w:lvlText w:val="%1.%2.%3"/>
      <w:lvlJc w:val="left"/>
      <w:pPr>
        <w:ind w:left="720" w:hanging="720"/>
      </w:pPr>
      <w:rPr>
        <w:rFonts w:ascii="黑体" w:hAnsi="黑体" w:eastAsia="黑体"/>
      </w:r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Zjc0ODllYjZjMDAwMDU3MDA5MWZmNjcxNzI5N2QifQ=="/>
  </w:docVars>
  <w:rsids>
    <w:rsidRoot w:val="00000000"/>
    <w:rsid w:val="101D0A42"/>
    <w:rsid w:val="163823B2"/>
    <w:rsid w:val="16E05D93"/>
    <w:rsid w:val="19246D19"/>
    <w:rsid w:val="1F712BFC"/>
    <w:rsid w:val="1FDE7BF6"/>
    <w:rsid w:val="1FEB1241"/>
    <w:rsid w:val="28B0437F"/>
    <w:rsid w:val="2CC10828"/>
    <w:rsid w:val="2CF56C13"/>
    <w:rsid w:val="2D644501"/>
    <w:rsid w:val="2D7339BD"/>
    <w:rsid w:val="33966D1B"/>
    <w:rsid w:val="34CA38DF"/>
    <w:rsid w:val="35224795"/>
    <w:rsid w:val="37E433EA"/>
    <w:rsid w:val="3980268B"/>
    <w:rsid w:val="3D4608BF"/>
    <w:rsid w:val="3F62716D"/>
    <w:rsid w:val="3FE04EFF"/>
    <w:rsid w:val="41C122D0"/>
    <w:rsid w:val="4732778A"/>
    <w:rsid w:val="48EC5978"/>
    <w:rsid w:val="50CA115E"/>
    <w:rsid w:val="510C4885"/>
    <w:rsid w:val="56895B8B"/>
    <w:rsid w:val="589C7C85"/>
    <w:rsid w:val="593C41DB"/>
    <w:rsid w:val="5E344B2C"/>
    <w:rsid w:val="618332A7"/>
    <w:rsid w:val="61EA750B"/>
    <w:rsid w:val="63E94CAF"/>
    <w:rsid w:val="67B635EF"/>
    <w:rsid w:val="693A7F2F"/>
    <w:rsid w:val="6A2151A2"/>
    <w:rsid w:val="6D5C4743"/>
    <w:rsid w:val="6EFD531F"/>
    <w:rsid w:val="72A32C95"/>
    <w:rsid w:val="74D272E1"/>
    <w:rsid w:val="75E268F1"/>
    <w:rsid w:val="76DF4C78"/>
    <w:rsid w:val="79664F44"/>
    <w:rsid w:val="7A4D38E8"/>
    <w:rsid w:val="7A9F128A"/>
    <w:rsid w:val="7B8C08E9"/>
    <w:rsid w:val="7D1B6F4D"/>
    <w:rsid w:val="7E6950A1"/>
    <w:rsid w:val="7FD12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numPr>
        <w:ilvl w:val="0"/>
        <w:numId w:val="1"/>
      </w:numPr>
      <w:spacing w:line="720" w:lineRule="auto"/>
      <w:ind w:left="431" w:hanging="431"/>
      <w:jc w:val="center"/>
      <w:outlineLvl w:val="0"/>
    </w:pPr>
    <w:rPr>
      <w:rFonts w:ascii="Times New Roman" w:hAnsi="Times New Roman" w:eastAsia="仿宋_GB2312"/>
      <w:b/>
      <w:bCs/>
      <w:kern w:val="44"/>
      <w:sz w:val="32"/>
      <w:szCs w:val="44"/>
    </w:rPr>
  </w:style>
  <w:style w:type="paragraph" w:styleId="3">
    <w:name w:val="heading 2"/>
    <w:basedOn w:val="1"/>
    <w:next w:val="1"/>
    <w:unhideWhenUsed/>
    <w:qFormat/>
    <w:uiPriority w:val="0"/>
    <w:pPr>
      <w:keepNext/>
      <w:keepLines/>
      <w:spacing w:beforeLines="0" w:beforeAutospacing="0" w:afterLines="0" w:afterAutospacing="0" w:line="480" w:lineRule="auto"/>
      <w:outlineLvl w:val="1"/>
    </w:pPr>
    <w:rPr>
      <w:rFonts w:ascii="Arial" w:hAnsi="Arial" w:eastAsia="仿宋_GB2312"/>
      <w:b/>
      <w:sz w:val="28"/>
    </w:rPr>
  </w:style>
  <w:style w:type="paragraph" w:styleId="4">
    <w:name w:val="heading 3"/>
    <w:basedOn w:val="1"/>
    <w:next w:val="1"/>
    <w:unhideWhenUsed/>
    <w:qFormat/>
    <w:uiPriority w:val="0"/>
    <w:pPr>
      <w:keepNext/>
      <w:keepLines/>
      <w:spacing w:before="100" w:beforeLines="0" w:beforeAutospacing="0" w:after="100" w:afterLines="0" w:afterAutospacing="0" w:line="480" w:lineRule="exact"/>
      <w:jc w:val="center"/>
      <w:outlineLvl w:val="2"/>
    </w:pPr>
    <w:rPr>
      <w:rFonts w:ascii="Times New Roman" w:hAnsi="Times New Roman" w:eastAsia="仿宋_GB2312"/>
      <w:b/>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caps/>
      <w:color w:val="365F91"/>
      <w:spacing w:val="10"/>
      <w:kern w:val="0"/>
      <w:sz w:val="22"/>
      <w:szCs w:val="22"/>
      <w:lang w:eastAsia="en-US" w:bidi="en-US"/>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semiHidden/>
    <w:unhideWhenUsed/>
    <w:qFormat/>
    <w:uiPriority w:val="99"/>
    <w:pPr>
      <w:spacing w:after="120"/>
    </w:pPr>
  </w:style>
  <w:style w:type="paragraph" w:styleId="7">
    <w:name w:val="Plain Text"/>
    <w:basedOn w:val="1"/>
    <w:next w:val="5"/>
    <w:qFormat/>
    <w:uiPriority w:val="0"/>
    <w:rPr>
      <w:rFonts w:ascii="宋体" w:hAnsi="Courier New"/>
      <w:sz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1519</Words>
  <Characters>1527</Characters>
  <Lines>0</Lines>
  <Paragraphs>0</Paragraphs>
  <TotalTime>22</TotalTime>
  <ScaleCrop>false</ScaleCrop>
  <LinksUpToDate>false</LinksUpToDate>
  <CharactersWithSpaces>1527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2023-04-04T06:22:00Z</dcterms:created>
  <dc:creator>Administrator</dc:creator>
  <cp:lastModifiedBy>so. what</cp:lastModifiedBy>
  <dcterms:modified xsi:type="dcterms:W3CDTF">2026-08-24T05:13:58Z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F89C13C4AECC4D6488BDF3C38D8825E3_13</vt:lpwstr>
  </property>
  <property fmtid="{D5CDD505-2E9C-101B-9397-08002B2CF9AE}" pid="4" name="KSOTemplateDocerSaveRecord">
    <vt:lpwstr>eyJoZGlkIjoiZTMyNGY5YWUyMGE0N2UwZDMxNGE1MzkxNzkyNmVlNWQiLCJ1c2VySWQiOiI0NjQ2ODc0OTYifQ==</vt:lpwstr>
  </property>
</Properties>
</file>